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BE3B4">
      <w:pPr>
        <w:spacing w:before="156" w:after="156"/>
        <w:ind w:firstLine="0" w:firstLineChars="0"/>
        <w:rPr>
          <w:rFonts w:hint="default" w:eastAsia="宋体" w:cs="Times New Roman"/>
          <w:lang w:val="en-US" w:eastAsia="zh-CN"/>
        </w:rPr>
      </w:pPr>
      <w:r>
        <w:rPr>
          <w:rFonts w:cs="Times New Roman"/>
        </w:rPr>
        <w:t>证券代码：300436</w:t>
      </w:r>
      <w:r>
        <w:rPr>
          <w:rFonts w:cs="Times New Roman"/>
        </w:rPr>
        <w:tab/>
      </w:r>
      <w:r>
        <w:rPr>
          <w:rFonts w:cs="Times New Roman"/>
        </w:rPr>
        <w:tab/>
      </w:r>
      <w:r>
        <w:rPr>
          <w:rFonts w:cs="Times New Roman"/>
        </w:rPr>
        <w:tab/>
      </w:r>
      <w:r>
        <w:rPr>
          <w:rFonts w:cs="Times New Roman"/>
        </w:rPr>
        <w:tab/>
      </w:r>
      <w:r>
        <w:rPr>
          <w:rFonts w:hint="eastAsia" w:cs="Times New Roman"/>
          <w:lang w:val="en-US" w:eastAsia="zh-CN"/>
        </w:rPr>
        <w:t xml:space="preserve">   </w:t>
      </w:r>
      <w:r>
        <w:rPr>
          <w:rFonts w:cs="Times New Roman"/>
        </w:rPr>
        <w:t>证券简称：广生堂</w:t>
      </w:r>
      <w:r>
        <w:rPr>
          <w:rFonts w:cs="Times New Roman"/>
        </w:rPr>
        <w:tab/>
      </w:r>
      <w:r>
        <w:rPr>
          <w:rFonts w:cs="Times New Roman"/>
        </w:rPr>
        <w:tab/>
      </w:r>
      <w:r>
        <w:rPr>
          <w:rFonts w:cs="Times New Roman"/>
        </w:rPr>
        <w:tab/>
      </w:r>
      <w:r>
        <w:rPr>
          <w:rFonts w:hint="eastAsia" w:cs="Times New Roman"/>
          <w:lang w:val="en-US" w:eastAsia="zh-CN"/>
        </w:rPr>
        <w:t xml:space="preserve">  </w:t>
      </w:r>
      <w:bookmarkStart w:id="1" w:name="_GoBack"/>
      <w:bookmarkEnd w:id="1"/>
      <w:r>
        <w:rPr>
          <w:rFonts w:hint="eastAsia" w:cs="Times New Roman"/>
          <w:lang w:val="en-US" w:eastAsia="zh-CN"/>
        </w:rPr>
        <w:t xml:space="preserve"> </w:t>
      </w:r>
      <w:r>
        <w:rPr>
          <w:rFonts w:cs="Times New Roman"/>
        </w:rPr>
        <w:t>公告编号：2025</w:t>
      </w:r>
      <w:r>
        <w:rPr>
          <w:rFonts w:hint="eastAsia" w:cs="Times New Roman"/>
          <w:lang w:val="en-US" w:eastAsia="zh-CN"/>
        </w:rPr>
        <w:t>020</w:t>
      </w:r>
    </w:p>
    <w:p w14:paraId="0D6B2CA3">
      <w:pPr>
        <w:spacing w:before="156" w:after="156"/>
        <w:ind w:firstLine="0" w:firstLineChars="0"/>
        <w:jc w:val="center"/>
        <w:rPr>
          <w:rFonts w:cs="Times New Roman"/>
          <w:b/>
          <w:bCs w:val="0"/>
          <w:sz w:val="28"/>
          <w:szCs w:val="28"/>
        </w:rPr>
      </w:pPr>
      <w:r>
        <w:rPr>
          <w:rFonts w:cs="Times New Roman"/>
          <w:b/>
          <w:bCs w:val="0"/>
          <w:sz w:val="28"/>
          <w:szCs w:val="28"/>
        </w:rPr>
        <w:t>福建广生堂药业股份有限公司</w:t>
      </w:r>
    </w:p>
    <w:p w14:paraId="1F927071">
      <w:pPr>
        <w:spacing w:before="156" w:after="156"/>
        <w:ind w:firstLine="0" w:firstLineChars="0"/>
        <w:jc w:val="center"/>
        <w:rPr>
          <w:rFonts w:cs="Times New Roman"/>
          <w:b/>
          <w:bCs w:val="0"/>
          <w:sz w:val="28"/>
          <w:szCs w:val="28"/>
        </w:rPr>
      </w:pPr>
      <w:r>
        <w:rPr>
          <w:rFonts w:cs="Times New Roman"/>
          <w:b/>
          <w:bCs w:val="0"/>
          <w:sz w:val="28"/>
          <w:szCs w:val="28"/>
        </w:rPr>
        <w:t>关于最近五年被证券监管部门和交易所</w:t>
      </w:r>
    </w:p>
    <w:p w14:paraId="639C1E30">
      <w:pPr>
        <w:spacing w:before="156" w:after="156"/>
        <w:ind w:firstLine="0" w:firstLineChars="0"/>
        <w:jc w:val="center"/>
        <w:rPr>
          <w:rFonts w:cs="Times New Roman"/>
          <w:b/>
          <w:bCs w:val="0"/>
          <w:sz w:val="28"/>
          <w:szCs w:val="28"/>
        </w:rPr>
      </w:pPr>
      <w:r>
        <w:rPr>
          <w:rFonts w:cs="Times New Roman"/>
          <w:b/>
          <w:bCs w:val="0"/>
          <w:sz w:val="28"/>
          <w:szCs w:val="28"/>
        </w:rPr>
        <w:t>采取处罚或监管措施的公告</w:t>
      </w:r>
    </w:p>
    <w:p w14:paraId="773F0162">
      <w:pPr>
        <w:spacing w:before="156" w:after="156"/>
        <w:ind w:firstLine="0" w:firstLineChars="0"/>
        <w:jc w:val="center"/>
        <w:rPr>
          <w:rFonts w:cs="Times New Roman"/>
          <w:b/>
          <w:bCs w:val="0"/>
        </w:rPr>
      </w:pPr>
      <w:r>
        <w:rPr>
          <w:rFonts w:cs="Times New Roman"/>
          <w:b/>
          <w:bCs w:val="0"/>
        </w:rPr>
        <mc:AlternateContent>
          <mc:Choice Requires="wps">
            <w:drawing>
              <wp:anchor distT="0" distB="0" distL="114300" distR="114300" simplePos="0" relativeHeight="251659264" behindDoc="0" locked="0" layoutInCell="1" allowOverlap="1">
                <wp:simplePos x="0" y="0"/>
                <wp:positionH relativeFrom="column">
                  <wp:posOffset>69850</wp:posOffset>
                </wp:positionH>
                <wp:positionV relativeFrom="paragraph">
                  <wp:posOffset>257175</wp:posOffset>
                </wp:positionV>
                <wp:extent cx="5486400" cy="812800"/>
                <wp:effectExtent l="0" t="0" r="19050" b="25400"/>
                <wp:wrapNone/>
                <wp:docPr id="1" name="文本框 1"/>
                <wp:cNvGraphicFramePr/>
                <a:graphic xmlns:a="http://schemas.openxmlformats.org/drawingml/2006/main">
                  <a:graphicData uri="http://schemas.microsoft.com/office/word/2010/wordprocessingShape">
                    <wps:wsp>
                      <wps:cNvSpPr txBox="1"/>
                      <wps:spPr>
                        <a:xfrm>
                          <a:off x="0" y="0"/>
                          <a:ext cx="5486400" cy="812800"/>
                        </a:xfrm>
                        <a:prstGeom prst="rect">
                          <a:avLst/>
                        </a:prstGeom>
                        <a:solidFill>
                          <a:schemeClr val="lt1"/>
                        </a:solidFill>
                        <a:ln w="6350">
                          <a:solidFill>
                            <a:prstClr val="black"/>
                          </a:solidFill>
                        </a:ln>
                      </wps:spPr>
                      <wps:txb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pt;margin-top:20.25pt;height:64pt;width:432pt;z-index:251659264;mso-width-relative:page;mso-height-relative:page;" fillcolor="#FFFFFF [3201]" filled="t" stroked="t" coordsize="21600,21600" o:gfxdata="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ajy6p1QAAAAkBAAAP&#10;AAAAAAAAAAEAIAAAACIAAABkcnMvZG93bnJldi54bWxQSwECFAAUAAAACACHTuJAANgDZFQCAAC3&#10;BAAADgAAAAAAAAABACAAAAAkAQAAZHJzL2Uyb0RvYy54bWxQSwUGAAAAAAYABgBZAQAA6gUAAAAA&#10;">
                <v:fill on="t" focussize="0,0"/>
                <v:stroke weight="0.5pt" color="#000000" joinstyle="round"/>
                <v:imagedata o:title=""/>
                <o:lock v:ext="edit" aspectratio="f"/>
                <v:textbo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v:textbox>
              </v:shape>
            </w:pict>
          </mc:Fallback>
        </mc:AlternateContent>
      </w:r>
    </w:p>
    <w:p w14:paraId="472506A9">
      <w:pPr>
        <w:spacing w:before="156" w:after="156"/>
        <w:ind w:firstLine="0" w:firstLineChars="0"/>
        <w:jc w:val="center"/>
        <w:rPr>
          <w:rFonts w:cs="Times New Roman"/>
          <w:b/>
          <w:bCs w:val="0"/>
        </w:rPr>
      </w:pPr>
    </w:p>
    <w:p w14:paraId="727D572F">
      <w:pPr>
        <w:spacing w:before="156" w:after="156"/>
        <w:ind w:firstLine="0" w:firstLineChars="0"/>
        <w:jc w:val="center"/>
        <w:rPr>
          <w:rFonts w:cs="Times New Roman"/>
          <w:b/>
          <w:bCs w:val="0"/>
        </w:rPr>
      </w:pPr>
    </w:p>
    <w:p w14:paraId="4D86A574">
      <w:pPr>
        <w:spacing w:before="156" w:after="156"/>
        <w:ind w:firstLine="0" w:firstLineChars="0"/>
        <w:jc w:val="center"/>
        <w:rPr>
          <w:rFonts w:cs="Times New Roman"/>
          <w:b/>
          <w:bCs w:val="0"/>
        </w:rPr>
      </w:pPr>
    </w:p>
    <w:p w14:paraId="2BB54309">
      <w:pPr>
        <w:spacing w:before="156" w:after="156"/>
        <w:ind w:firstLine="464"/>
        <w:rPr>
          <w:rFonts w:cs="Times New Roman"/>
          <w:spacing w:val="-4"/>
        </w:rPr>
      </w:pPr>
      <w:r>
        <w:rPr>
          <w:rFonts w:cs="Times New Roman"/>
          <w:spacing w:val="-4"/>
        </w:rPr>
        <w:t>福建广生堂药业股份有限公司（以下简称“公司”）自上市以来严格按照《中华人民共和国公司法》《中华人民共和国证券法》《深圳证券交易所创业板股票上市规则》《深圳证券交易所上市公司自律监管指引第2号——创业板上市公司规范运作》及《公司章程》等规定和要求，不断完善公司法人治理结构，建立健全内部控制制度，提高公司规范运作水平，促进企业持续、稳定、健康发展。</w:t>
      </w:r>
    </w:p>
    <w:p w14:paraId="50D55D36">
      <w:pPr>
        <w:spacing w:before="156" w:after="156"/>
        <w:ind w:firstLine="464"/>
        <w:rPr>
          <w:rFonts w:cs="Times New Roman"/>
          <w:spacing w:val="-4"/>
        </w:rPr>
      </w:pPr>
      <w:r>
        <w:rPr>
          <w:rFonts w:cs="Times New Roman"/>
          <w:spacing w:val="-4"/>
        </w:rPr>
        <w:t>鉴于公司拟实施</w:t>
      </w:r>
      <w:r>
        <w:rPr>
          <w:rFonts w:hint="eastAsia" w:cs="Times New Roman"/>
          <w:spacing w:val="-4"/>
        </w:rPr>
        <w:t>2025年度</w:t>
      </w:r>
      <w:r>
        <w:rPr>
          <w:rFonts w:cs="Times New Roman"/>
          <w:spacing w:val="-4"/>
        </w:rPr>
        <w:t>向特定对象发行</w:t>
      </w:r>
      <w:r>
        <w:rPr>
          <w:rFonts w:hint="eastAsia" w:cs="Times New Roman"/>
          <w:spacing w:val="-4"/>
        </w:rPr>
        <w:t>A股</w:t>
      </w:r>
      <w:r>
        <w:rPr>
          <w:rFonts w:cs="Times New Roman"/>
          <w:spacing w:val="-4"/>
        </w:rPr>
        <w:t>股票事项，按照相关要求，公司现将最近五年被证券监管部门和交易所处罚或采取监管措施的情况说明如下：</w:t>
      </w:r>
    </w:p>
    <w:p w14:paraId="2465E76B">
      <w:pPr>
        <w:spacing w:before="156" w:after="156"/>
        <w:ind w:firstLine="198" w:firstLineChars="85"/>
        <w:outlineLvl w:val="0"/>
        <w:rPr>
          <w:rFonts w:cs="Times New Roman"/>
          <w:b/>
          <w:bCs w:val="0"/>
          <w:spacing w:val="-4"/>
        </w:rPr>
      </w:pPr>
      <w:r>
        <w:rPr>
          <w:rFonts w:cs="Times New Roman"/>
          <w:b/>
          <w:bCs w:val="0"/>
          <w:spacing w:val="-4"/>
        </w:rPr>
        <w:t>一、公司最近五年被证券监管部门和交易所处罚的情况</w:t>
      </w:r>
    </w:p>
    <w:p w14:paraId="1D8860A1">
      <w:pPr>
        <w:spacing w:before="156" w:after="156"/>
        <w:ind w:firstLine="464"/>
        <w:rPr>
          <w:rFonts w:cs="Times New Roman"/>
          <w:spacing w:val="-4"/>
        </w:rPr>
      </w:pPr>
      <w:r>
        <w:rPr>
          <w:rFonts w:cs="Times New Roman"/>
          <w:spacing w:val="-4"/>
        </w:rPr>
        <w:t>经自查，公司最近五年不存在被证券监管部门和交易所处罚的情况。</w:t>
      </w:r>
    </w:p>
    <w:p w14:paraId="11F063A9">
      <w:pPr>
        <w:spacing w:before="156" w:after="156"/>
        <w:ind w:firstLine="198" w:firstLineChars="85"/>
        <w:outlineLvl w:val="0"/>
        <w:rPr>
          <w:rFonts w:cs="Times New Roman"/>
          <w:b/>
          <w:bCs w:val="0"/>
          <w:spacing w:val="-4"/>
        </w:rPr>
      </w:pPr>
      <w:r>
        <w:rPr>
          <w:rFonts w:cs="Times New Roman"/>
          <w:b/>
          <w:bCs w:val="0"/>
          <w:spacing w:val="-4"/>
        </w:rPr>
        <w:t>二、公司最近五年被证券监管部门和交易所采取监管措施的情况</w:t>
      </w:r>
    </w:p>
    <w:p w14:paraId="63D9750D">
      <w:pPr>
        <w:spacing w:before="156" w:after="156"/>
        <w:ind w:firstLine="464"/>
        <w:rPr>
          <w:rFonts w:cs="Times New Roman"/>
          <w:spacing w:val="-4"/>
        </w:rPr>
      </w:pPr>
      <w:r>
        <w:rPr>
          <w:rFonts w:cs="Times New Roman"/>
          <w:spacing w:val="-4"/>
        </w:rPr>
        <w:t>经自查，公司最近五年共收到1份监管函、1份监管关注函、2份关注函，具体情况如下：</w:t>
      </w:r>
    </w:p>
    <w:p w14:paraId="65411729">
      <w:pPr>
        <w:spacing w:before="156" w:after="156"/>
        <w:ind w:firstLine="466"/>
        <w:outlineLvl w:val="1"/>
        <w:rPr>
          <w:rFonts w:cs="Times New Roman"/>
          <w:b/>
          <w:bCs w:val="0"/>
          <w:spacing w:val="-4"/>
        </w:rPr>
      </w:pPr>
      <w:r>
        <w:rPr>
          <w:rFonts w:cs="Times New Roman"/>
          <w:b/>
          <w:bCs w:val="0"/>
          <w:spacing w:val="-4"/>
        </w:rPr>
        <w:t>（一）监管函</w:t>
      </w:r>
    </w:p>
    <w:p w14:paraId="7A520D89">
      <w:pPr>
        <w:spacing w:before="156" w:after="156"/>
        <w:ind w:firstLine="464"/>
        <w:rPr>
          <w:rFonts w:cs="Times New Roman"/>
          <w:spacing w:val="-4"/>
        </w:rPr>
      </w:pPr>
      <w:r>
        <w:rPr>
          <w:rFonts w:cs="Times New Roman"/>
          <w:spacing w:val="-4"/>
        </w:rPr>
        <w:t>2020年4月27日，公司收到深圳证券交易创业板公司管理部出具的《关于对福建广生堂药业股份有限公司的监管函》（创业板监管函〔2020〕第58号）。</w:t>
      </w:r>
    </w:p>
    <w:p w14:paraId="48E47C03">
      <w:pPr>
        <w:spacing w:before="156" w:after="156"/>
        <w:ind w:firstLine="464"/>
        <w:rPr>
          <w:rFonts w:cs="Times New Roman"/>
          <w:spacing w:val="-4"/>
        </w:rPr>
      </w:pPr>
      <w:r>
        <w:rPr>
          <w:rFonts w:cs="Times New Roman"/>
          <w:spacing w:val="-4"/>
        </w:rPr>
        <w:t>1、主要内容</w:t>
      </w:r>
    </w:p>
    <w:p w14:paraId="354724C9">
      <w:pPr>
        <w:spacing w:before="156" w:after="156"/>
        <w:ind w:firstLine="464"/>
        <w:rPr>
          <w:rFonts w:cs="Times New Roman"/>
          <w:spacing w:val="-4"/>
        </w:rPr>
      </w:pPr>
      <w:r>
        <w:rPr>
          <w:rFonts w:hint="eastAsia" w:cs="Times New Roman"/>
          <w:spacing w:val="-4"/>
        </w:rPr>
        <w:t>“</w:t>
      </w:r>
      <w:r>
        <w:rPr>
          <w:rFonts w:cs="Times New Roman"/>
          <w:spacing w:val="-4"/>
        </w:rPr>
        <w:t>2020年4月14日晚间，你公司直通披露《关于签订硫酸羟氯喹技术开发合同的公告》称，拟</w:t>
      </w:r>
      <w:r>
        <w:rPr>
          <w:rFonts w:hint="eastAsia" w:cs="Times New Roman"/>
          <w:spacing w:val="-4"/>
        </w:rPr>
        <w:t>“</w:t>
      </w:r>
      <w:r>
        <w:rPr>
          <w:rFonts w:cs="Times New Roman"/>
          <w:spacing w:val="-4"/>
        </w:rPr>
        <w:t>与北京阳光诺和药物研究股份有限公司（简称</w:t>
      </w:r>
      <w:r>
        <w:rPr>
          <w:rFonts w:hint="eastAsia" w:cs="Times New Roman"/>
          <w:spacing w:val="-4"/>
        </w:rPr>
        <w:t>“</w:t>
      </w:r>
      <w:r>
        <w:rPr>
          <w:rFonts w:cs="Times New Roman"/>
          <w:spacing w:val="-4"/>
        </w:rPr>
        <w:t>北京阳光诺和</w:t>
      </w:r>
      <w:r>
        <w:rPr>
          <w:rFonts w:hint="eastAsia" w:cs="Times New Roman"/>
          <w:spacing w:val="-4"/>
        </w:rPr>
        <w:t>”</w:t>
      </w:r>
      <w:r>
        <w:rPr>
          <w:rFonts w:cs="Times New Roman"/>
          <w:spacing w:val="-4"/>
        </w:rPr>
        <w:t>）合作开发可能的抗冠状病毒药物硫酸羟氯喹片，共同致力于开发储备可能的治疗及预防抗击新冠病毒药物</w:t>
      </w:r>
      <w:r>
        <w:rPr>
          <w:rFonts w:hint="eastAsia" w:cs="Times New Roman"/>
          <w:spacing w:val="-4"/>
        </w:rPr>
        <w:t>”</w:t>
      </w:r>
      <w:r>
        <w:rPr>
          <w:rFonts w:cs="Times New Roman"/>
          <w:spacing w:val="-4"/>
        </w:rPr>
        <w:t>。你公司未披露与北京阳光诺和签订合同的投资金额、履行期限及本次合作对公司经营业绩的影响情况，也未针对硫酸羟氯喹用于治疗新型冠状病毒肺炎的安全性及治疗效果的不确定性向投资者充分提示风险，存在信息披露不完整的情形。</w:t>
      </w:r>
    </w:p>
    <w:p w14:paraId="4C4E21E4">
      <w:pPr>
        <w:spacing w:before="156" w:after="156"/>
        <w:ind w:firstLine="464"/>
        <w:rPr>
          <w:rFonts w:cs="Times New Roman"/>
          <w:spacing w:val="-4"/>
        </w:rPr>
      </w:pPr>
      <w:r>
        <w:rPr>
          <w:rFonts w:cs="Times New Roman"/>
          <w:spacing w:val="-4"/>
        </w:rPr>
        <w:t>你公司的上述行为违反了本所《创业板股票上市规则（2018年11月修订）》第2.1条和第2.5条规定。请你公司董事会充分重视上述问题，吸取教训，及时整改，杜绝上述问题的再次发生。</w:t>
      </w:r>
    </w:p>
    <w:p w14:paraId="33C37345">
      <w:pPr>
        <w:spacing w:before="156" w:after="156"/>
        <w:ind w:firstLine="464"/>
        <w:rPr>
          <w:rFonts w:cs="Times New Roman"/>
          <w:spacing w:val="-4"/>
        </w:rPr>
      </w:pPr>
      <w:r>
        <w:rPr>
          <w:rFonts w:cs="Times New Roman"/>
          <w:spacing w:val="-4"/>
        </w:rPr>
        <w:t>我部提醒你公司：上市公司必须按照国家法律、法规和《深圳证券交易所创业板股票上市规则》，认真和及时地履行信息披露义务。上市公司的董事会全体成员必须保证信息披露内容真实、准确、完整，没有虚假记载、误导性陈述或重大遗漏，并就其保证承担个别和连带的责任。</w:t>
      </w:r>
      <w:r>
        <w:rPr>
          <w:rFonts w:hint="eastAsia" w:cs="Times New Roman"/>
          <w:spacing w:val="-4"/>
        </w:rPr>
        <w:t>”</w:t>
      </w:r>
    </w:p>
    <w:p w14:paraId="208A48FE">
      <w:pPr>
        <w:spacing w:before="156" w:after="156"/>
        <w:ind w:firstLine="464"/>
        <w:rPr>
          <w:rFonts w:cs="Times New Roman"/>
          <w:spacing w:val="-4"/>
        </w:rPr>
      </w:pPr>
      <w:r>
        <w:rPr>
          <w:rFonts w:cs="Times New Roman"/>
          <w:spacing w:val="-4"/>
        </w:rPr>
        <w:t>2、整改措施</w:t>
      </w:r>
    </w:p>
    <w:p w14:paraId="64520C37">
      <w:pPr>
        <w:spacing w:before="156" w:after="156"/>
        <w:ind w:firstLine="464"/>
        <w:rPr>
          <w:rFonts w:cs="Times New Roman"/>
          <w:spacing w:val="-4"/>
        </w:rPr>
      </w:pPr>
      <w:r>
        <w:rPr>
          <w:rFonts w:cs="Times New Roman"/>
          <w:spacing w:val="-4"/>
        </w:rPr>
        <w:t>公司收到有关监管文件后按照文件要求进行了认真核查和整改，补充披露了相关信息。同时，公司在以后的工作中将严格按照《深圳证券交易所创业板股票上市规则》等法律法规的要求进行信息披露，加强信息披露工作人员对信息披露知识的学习，积极参加监管部门组织的培训，提高业务素质，加强信息披露管理工作，保证信息披露质量。</w:t>
      </w:r>
    </w:p>
    <w:p w14:paraId="610BC5D2">
      <w:pPr>
        <w:spacing w:before="156" w:after="156"/>
        <w:ind w:firstLine="466"/>
        <w:outlineLvl w:val="1"/>
        <w:rPr>
          <w:rFonts w:cs="Times New Roman"/>
          <w:b/>
          <w:bCs w:val="0"/>
          <w:spacing w:val="-4"/>
        </w:rPr>
      </w:pPr>
      <w:r>
        <w:rPr>
          <w:rFonts w:cs="Times New Roman"/>
          <w:b/>
          <w:bCs w:val="0"/>
          <w:spacing w:val="-4"/>
        </w:rPr>
        <w:t>（二）监管关注函</w:t>
      </w:r>
    </w:p>
    <w:p w14:paraId="4822986C">
      <w:pPr>
        <w:spacing w:before="156" w:after="156"/>
        <w:ind w:firstLine="464"/>
        <w:rPr>
          <w:rFonts w:cs="Times New Roman"/>
          <w:spacing w:val="-4"/>
        </w:rPr>
      </w:pPr>
      <w:r>
        <w:rPr>
          <w:rFonts w:cs="Times New Roman"/>
          <w:spacing w:val="-4"/>
        </w:rPr>
        <w:t>2020年5月27日，公司收到中国证券监督管理委员会福建监管局出具的《关于福建广生堂药业股份有限公司的监管关注函》（闽证监函[2020]122号）。</w:t>
      </w:r>
    </w:p>
    <w:p w14:paraId="1FE42671">
      <w:pPr>
        <w:spacing w:before="156" w:after="156"/>
        <w:ind w:firstLine="464"/>
        <w:rPr>
          <w:rFonts w:cs="Times New Roman"/>
          <w:spacing w:val="-4"/>
        </w:rPr>
      </w:pPr>
      <w:r>
        <w:rPr>
          <w:rFonts w:cs="Times New Roman"/>
          <w:spacing w:val="-4"/>
        </w:rPr>
        <w:t>1、主要内容</w:t>
      </w:r>
    </w:p>
    <w:p w14:paraId="68CF7F7D">
      <w:pPr>
        <w:spacing w:before="156" w:after="156"/>
        <w:ind w:firstLine="480"/>
        <w:rPr>
          <w:rFonts w:cs="Times New Roman"/>
        </w:rPr>
      </w:pPr>
      <w:r>
        <w:rPr>
          <w:rFonts w:hint="eastAsia" w:cs="Times New Roman"/>
        </w:rPr>
        <w:t>“</w:t>
      </w:r>
      <w:r>
        <w:rPr>
          <w:rFonts w:cs="Times New Roman"/>
        </w:rPr>
        <w:t>我局在日常监管中发现你公司信息披露存在以下问题：</w:t>
      </w:r>
    </w:p>
    <w:p w14:paraId="2004EC45">
      <w:pPr>
        <w:spacing w:before="156" w:after="156"/>
        <w:ind w:firstLine="480"/>
        <w:rPr>
          <w:rFonts w:cs="Times New Roman"/>
        </w:rPr>
      </w:pPr>
      <w:r>
        <w:rPr>
          <w:rFonts w:cs="Times New Roman"/>
        </w:rPr>
        <w:t>一、未披露主要环境信息</w:t>
      </w:r>
    </w:p>
    <w:p w14:paraId="683A9D48">
      <w:pPr>
        <w:spacing w:before="156" w:after="156"/>
        <w:ind w:firstLine="464"/>
        <w:rPr>
          <w:rFonts w:cs="Times New Roman"/>
          <w:spacing w:val="-4"/>
        </w:rPr>
      </w:pPr>
      <w:r>
        <w:rPr>
          <w:rFonts w:cs="Times New Roman"/>
          <w:spacing w:val="-4"/>
        </w:rPr>
        <w:t>根据福建省生态环境厅2019年4月公布的福建省重点排污单位名录，你公司在2019年2月已被列入福建省重点排污单位。你公司在2019年8月26日披露的2019年半年度报告第五节第十五部分</w:t>
      </w:r>
      <w:r>
        <w:rPr>
          <w:rFonts w:hint="eastAsia" w:cs="Times New Roman"/>
          <w:spacing w:val="-4"/>
        </w:rPr>
        <w:t>“</w:t>
      </w:r>
      <w:r>
        <w:rPr>
          <w:rFonts w:cs="Times New Roman"/>
          <w:spacing w:val="-4"/>
        </w:rPr>
        <w:t>1.重大环保情况</w:t>
      </w:r>
      <w:r>
        <w:rPr>
          <w:rFonts w:hint="eastAsia" w:cs="Times New Roman"/>
          <w:spacing w:val="-4"/>
        </w:rPr>
        <w:t>”</w:t>
      </w:r>
      <w:r>
        <w:rPr>
          <w:rFonts w:cs="Times New Roman"/>
          <w:spacing w:val="-4"/>
        </w:rPr>
        <w:t>中披露公司及子公司不属于环境保护部门公布的重点排污单位，且未披露主要环境信息，违反了《公开发行证券的公司信息披露内容与格式准则第3号</w:t>
      </w:r>
      <w:r>
        <w:rPr>
          <w:rFonts w:hint="eastAsia" w:cs="Times New Roman"/>
          <w:spacing w:val="-4"/>
        </w:rPr>
        <w:t>—</w:t>
      </w:r>
      <w:r>
        <w:rPr>
          <w:rFonts w:cs="Times New Roman"/>
          <w:spacing w:val="-4"/>
        </w:rPr>
        <w:t>半年度报告的内容与格式》（2017年修订）第四十条第一款规定。</w:t>
      </w:r>
    </w:p>
    <w:p w14:paraId="31C4FFC4">
      <w:pPr>
        <w:spacing w:before="156" w:after="156"/>
        <w:ind w:firstLine="464"/>
        <w:rPr>
          <w:rFonts w:cs="Times New Roman"/>
          <w:spacing w:val="-4"/>
        </w:rPr>
      </w:pPr>
      <w:r>
        <w:rPr>
          <w:rFonts w:cs="Times New Roman"/>
          <w:spacing w:val="-4"/>
        </w:rPr>
        <w:t>二、签订开发抗击新冠药物的合同信息披露不完整</w:t>
      </w:r>
    </w:p>
    <w:p w14:paraId="3D3A2D44">
      <w:pPr>
        <w:spacing w:before="156" w:after="156"/>
        <w:ind w:firstLine="464"/>
        <w:rPr>
          <w:rFonts w:cs="Times New Roman"/>
          <w:spacing w:val="-4"/>
        </w:rPr>
      </w:pPr>
      <w:r>
        <w:rPr>
          <w:rFonts w:cs="Times New Roman"/>
          <w:spacing w:val="-4"/>
        </w:rPr>
        <w:t>2020年4月15日，你公司披露了《关于签订硫酸羟氯喹技术开发合同的公告》，称</w:t>
      </w:r>
      <w:r>
        <w:rPr>
          <w:rFonts w:hint="eastAsia" w:cs="Times New Roman"/>
          <w:spacing w:val="-4"/>
        </w:rPr>
        <w:t>“</w:t>
      </w:r>
      <w:r>
        <w:rPr>
          <w:rFonts w:cs="Times New Roman"/>
          <w:spacing w:val="-4"/>
        </w:rPr>
        <w:t>拟与北京阳光诺和药物研究股份有限公司（以下简称阳光诺和）合作开发可能的抗冠状病毒药物硫酸羟氯喹片，共同致力于开发储备可能的治疗及预防抗击新冠病毒药物</w:t>
      </w:r>
      <w:r>
        <w:rPr>
          <w:rFonts w:hint="eastAsia" w:cs="Times New Roman"/>
          <w:spacing w:val="-4"/>
        </w:rPr>
        <w:t>”</w:t>
      </w:r>
      <w:r>
        <w:rPr>
          <w:rFonts w:cs="Times New Roman"/>
          <w:spacing w:val="-4"/>
        </w:rPr>
        <w:t>。但未披露与阳光诺和签订合同的投资金额、履行期限及本次合作对公司业绩影响的情况，信息披露不完整。</w:t>
      </w:r>
    </w:p>
    <w:p w14:paraId="5926551C">
      <w:pPr>
        <w:spacing w:before="156" w:after="156"/>
        <w:ind w:firstLine="464"/>
        <w:rPr>
          <w:rFonts w:cs="Times New Roman"/>
          <w:spacing w:val="-4"/>
        </w:rPr>
      </w:pPr>
      <w:r>
        <w:rPr>
          <w:rFonts w:cs="Times New Roman"/>
          <w:spacing w:val="-4"/>
        </w:rPr>
        <w:t>请你公司充分重视上述问题，组织全体董事、监事、高管人员及其他相关人员加强对信息披露相关法律法规的学习，并采取有效措施改进公司信息披露事务管理，切实提升公司信息披露水平。</w:t>
      </w:r>
      <w:r>
        <w:rPr>
          <w:rFonts w:hint="eastAsia" w:cs="Times New Roman"/>
          <w:spacing w:val="-4"/>
        </w:rPr>
        <w:t>”</w:t>
      </w:r>
    </w:p>
    <w:p w14:paraId="3B053495">
      <w:pPr>
        <w:spacing w:before="156" w:after="156"/>
        <w:ind w:firstLine="464"/>
        <w:rPr>
          <w:rFonts w:cs="Times New Roman"/>
          <w:spacing w:val="-4"/>
        </w:rPr>
      </w:pPr>
      <w:r>
        <w:rPr>
          <w:rFonts w:cs="Times New Roman"/>
          <w:spacing w:val="-4"/>
        </w:rPr>
        <w:t>2、整改措施</w:t>
      </w:r>
    </w:p>
    <w:p w14:paraId="32F8A377">
      <w:pPr>
        <w:spacing w:before="156" w:after="156"/>
        <w:ind w:firstLine="464"/>
        <w:rPr>
          <w:rFonts w:cs="Times New Roman"/>
          <w:spacing w:val="-4"/>
        </w:rPr>
      </w:pPr>
      <w:r>
        <w:rPr>
          <w:rFonts w:cs="Times New Roman"/>
          <w:spacing w:val="-4"/>
        </w:rPr>
        <w:t>公司收到有关监管文件后按照文件要求进行了认真核查和整改，补充披露了相关信息。同时，公司在以后的工作中将严格按照《深圳证券交易所创业板股票上市规则》等法律法规的要求进行信息披露，加强信息披露工作人员对信息披露知识的学习，积极参加监管部门组织的培训，提高业务素质，加强信息披露管理工作，保证信息披露质量。</w:t>
      </w:r>
    </w:p>
    <w:p w14:paraId="1E8DD4D8">
      <w:pPr>
        <w:spacing w:before="156" w:after="156"/>
        <w:ind w:firstLine="466"/>
        <w:outlineLvl w:val="1"/>
        <w:rPr>
          <w:rFonts w:cs="Times New Roman"/>
          <w:b/>
          <w:bCs w:val="0"/>
          <w:spacing w:val="-4"/>
        </w:rPr>
      </w:pPr>
      <w:r>
        <w:rPr>
          <w:rFonts w:cs="Times New Roman"/>
          <w:b/>
          <w:bCs w:val="0"/>
          <w:spacing w:val="-4"/>
        </w:rPr>
        <w:t>（三）关注函</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134"/>
        <w:gridCol w:w="992"/>
        <w:gridCol w:w="1701"/>
        <w:gridCol w:w="2410"/>
        <w:gridCol w:w="2065"/>
      </w:tblGrid>
      <w:tr w14:paraId="30068D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14:paraId="6F0179F6">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序号</w:t>
            </w:r>
          </w:p>
        </w:tc>
        <w:tc>
          <w:tcPr>
            <w:tcW w:w="1134" w:type="dxa"/>
            <w:vAlign w:val="center"/>
          </w:tcPr>
          <w:p w14:paraId="26B0C948">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发函部门</w:t>
            </w:r>
          </w:p>
        </w:tc>
        <w:tc>
          <w:tcPr>
            <w:tcW w:w="992" w:type="dxa"/>
            <w:vAlign w:val="center"/>
          </w:tcPr>
          <w:p w14:paraId="67268CD2">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日期</w:t>
            </w:r>
          </w:p>
        </w:tc>
        <w:tc>
          <w:tcPr>
            <w:tcW w:w="1701" w:type="dxa"/>
            <w:vAlign w:val="center"/>
          </w:tcPr>
          <w:p w14:paraId="4CF540EF">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文件名称</w:t>
            </w:r>
          </w:p>
        </w:tc>
        <w:tc>
          <w:tcPr>
            <w:tcW w:w="2410" w:type="dxa"/>
            <w:vAlign w:val="center"/>
          </w:tcPr>
          <w:p w14:paraId="77C8F932">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主要内容</w:t>
            </w:r>
          </w:p>
        </w:tc>
        <w:tc>
          <w:tcPr>
            <w:tcW w:w="2065" w:type="dxa"/>
            <w:vAlign w:val="center"/>
          </w:tcPr>
          <w:p w14:paraId="740CF456">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回复情况</w:t>
            </w:r>
          </w:p>
        </w:tc>
      </w:tr>
      <w:tr w14:paraId="0D018E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14:paraId="06616856">
            <w:pPr>
              <w:spacing w:before="156" w:after="156" w:line="240" w:lineRule="auto"/>
              <w:ind w:firstLine="0" w:firstLineChars="0"/>
              <w:jc w:val="center"/>
              <w:rPr>
                <w:rFonts w:cs="Times New Roman"/>
                <w:spacing w:val="-4"/>
                <w:sz w:val="21"/>
                <w:szCs w:val="21"/>
              </w:rPr>
            </w:pPr>
            <w:r>
              <w:rPr>
                <w:rFonts w:cs="Times New Roman"/>
                <w:spacing w:val="-4"/>
                <w:sz w:val="21"/>
                <w:szCs w:val="21"/>
              </w:rPr>
              <w:t>1</w:t>
            </w:r>
          </w:p>
        </w:tc>
        <w:tc>
          <w:tcPr>
            <w:tcW w:w="1134" w:type="dxa"/>
            <w:vAlign w:val="center"/>
          </w:tcPr>
          <w:p w14:paraId="61EC5EF1">
            <w:pPr>
              <w:spacing w:before="156" w:after="156" w:line="240" w:lineRule="auto"/>
              <w:ind w:firstLine="0" w:firstLineChars="0"/>
              <w:rPr>
                <w:rFonts w:cs="Times New Roman"/>
                <w:spacing w:val="-4"/>
                <w:sz w:val="21"/>
                <w:szCs w:val="21"/>
              </w:rPr>
            </w:pPr>
            <w:r>
              <w:rPr>
                <w:rFonts w:cs="Times New Roman"/>
                <w:spacing w:val="-4"/>
                <w:sz w:val="21"/>
                <w:szCs w:val="21"/>
              </w:rPr>
              <w:t>深圳证券交易所创业板公司管理部</w:t>
            </w:r>
          </w:p>
        </w:tc>
        <w:tc>
          <w:tcPr>
            <w:tcW w:w="992" w:type="dxa"/>
            <w:vAlign w:val="center"/>
          </w:tcPr>
          <w:p w14:paraId="44032A21">
            <w:pPr>
              <w:spacing w:before="156" w:after="156" w:line="240" w:lineRule="auto"/>
              <w:ind w:firstLine="0" w:firstLineChars="0"/>
              <w:rPr>
                <w:rFonts w:cs="Times New Roman"/>
                <w:spacing w:val="-4"/>
                <w:sz w:val="21"/>
                <w:szCs w:val="21"/>
              </w:rPr>
            </w:pPr>
            <w:r>
              <w:rPr>
                <w:rFonts w:cs="Times New Roman"/>
                <w:spacing w:val="-4"/>
                <w:sz w:val="21"/>
                <w:szCs w:val="21"/>
              </w:rPr>
              <w:t>2020年4月17日</w:t>
            </w:r>
          </w:p>
        </w:tc>
        <w:tc>
          <w:tcPr>
            <w:tcW w:w="1701" w:type="dxa"/>
            <w:vAlign w:val="center"/>
          </w:tcPr>
          <w:p w14:paraId="48740104">
            <w:pPr>
              <w:spacing w:before="156" w:after="156" w:line="240" w:lineRule="auto"/>
              <w:ind w:firstLine="0" w:firstLineChars="0"/>
              <w:rPr>
                <w:rFonts w:cs="Times New Roman"/>
                <w:spacing w:val="-4"/>
                <w:sz w:val="21"/>
                <w:szCs w:val="21"/>
              </w:rPr>
            </w:pPr>
            <w:r>
              <w:rPr>
                <w:rFonts w:cs="Times New Roman"/>
                <w:spacing w:val="-4"/>
                <w:sz w:val="21"/>
                <w:szCs w:val="21"/>
              </w:rPr>
              <w:t>《关于对福建广生堂药业股份有限公司的关注函》（创业板关注函〔2020〕第217号）</w:t>
            </w:r>
          </w:p>
        </w:tc>
        <w:tc>
          <w:tcPr>
            <w:tcW w:w="2410" w:type="dxa"/>
            <w:vAlign w:val="center"/>
          </w:tcPr>
          <w:p w14:paraId="2557C5CE">
            <w:pPr>
              <w:spacing w:before="156" w:after="156" w:line="240" w:lineRule="auto"/>
              <w:ind w:firstLine="0" w:firstLineChars="0"/>
              <w:rPr>
                <w:rFonts w:cs="Times New Roman"/>
                <w:spacing w:val="-4"/>
                <w:sz w:val="21"/>
                <w:szCs w:val="21"/>
              </w:rPr>
            </w:pPr>
            <w:r>
              <w:rPr>
                <w:rFonts w:cs="Times New Roman"/>
                <w:spacing w:val="-4"/>
                <w:sz w:val="21"/>
                <w:szCs w:val="21"/>
              </w:rPr>
              <w:t>对《关于签订硫酸羟氯喹技术开发合同的公告》的相关事项进行问询</w:t>
            </w:r>
          </w:p>
        </w:tc>
        <w:tc>
          <w:tcPr>
            <w:tcW w:w="2065" w:type="dxa"/>
            <w:vAlign w:val="center"/>
          </w:tcPr>
          <w:p w14:paraId="334C3106">
            <w:pPr>
              <w:spacing w:before="156" w:after="156" w:line="240" w:lineRule="auto"/>
              <w:ind w:firstLine="0" w:firstLineChars="0"/>
              <w:rPr>
                <w:rFonts w:cs="Times New Roman"/>
                <w:spacing w:val="-4"/>
                <w:sz w:val="21"/>
                <w:szCs w:val="21"/>
              </w:rPr>
            </w:pPr>
            <w:r>
              <w:rPr>
                <w:rFonts w:cs="Times New Roman"/>
                <w:spacing w:val="-4"/>
                <w:sz w:val="21"/>
                <w:szCs w:val="21"/>
              </w:rPr>
              <w:t>公司按照函件要求，对关注函中提到的问题认真核查并进行了书面回复。详细情况已载于2020年4月21日发布的《福建广生堂药业股份有限公司关于对深圳证券交易所关注函回复的公告》（公告编号2020043）</w:t>
            </w:r>
          </w:p>
        </w:tc>
      </w:tr>
      <w:tr w14:paraId="3E372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14:paraId="0FB408AE">
            <w:pPr>
              <w:spacing w:before="156" w:after="156" w:line="240" w:lineRule="auto"/>
              <w:ind w:firstLine="0" w:firstLineChars="0"/>
              <w:jc w:val="center"/>
              <w:rPr>
                <w:rFonts w:cs="Times New Roman"/>
                <w:spacing w:val="-4"/>
                <w:sz w:val="21"/>
                <w:szCs w:val="21"/>
              </w:rPr>
            </w:pPr>
            <w:r>
              <w:rPr>
                <w:rFonts w:cs="Times New Roman"/>
                <w:spacing w:val="-4"/>
                <w:sz w:val="21"/>
                <w:szCs w:val="21"/>
              </w:rPr>
              <w:t>2</w:t>
            </w:r>
          </w:p>
        </w:tc>
        <w:tc>
          <w:tcPr>
            <w:tcW w:w="1134" w:type="dxa"/>
            <w:vAlign w:val="center"/>
          </w:tcPr>
          <w:p w14:paraId="08BDC146">
            <w:pPr>
              <w:spacing w:before="156" w:after="156" w:line="240" w:lineRule="auto"/>
              <w:ind w:firstLine="0" w:firstLineChars="0"/>
              <w:rPr>
                <w:rFonts w:cs="Times New Roman"/>
                <w:spacing w:val="-4"/>
                <w:sz w:val="21"/>
                <w:szCs w:val="21"/>
              </w:rPr>
            </w:pPr>
            <w:r>
              <w:rPr>
                <w:rFonts w:cs="Times New Roman"/>
                <w:spacing w:val="-4"/>
                <w:sz w:val="21"/>
                <w:szCs w:val="21"/>
              </w:rPr>
              <w:t>深圳证券交易所创业板公司管理部</w:t>
            </w:r>
          </w:p>
        </w:tc>
        <w:tc>
          <w:tcPr>
            <w:tcW w:w="992" w:type="dxa"/>
            <w:vAlign w:val="center"/>
          </w:tcPr>
          <w:p w14:paraId="72AC4789">
            <w:pPr>
              <w:spacing w:before="156" w:after="156" w:line="240" w:lineRule="auto"/>
              <w:ind w:firstLine="0" w:firstLineChars="0"/>
              <w:rPr>
                <w:rFonts w:cs="Times New Roman"/>
                <w:spacing w:val="-4"/>
                <w:sz w:val="21"/>
                <w:szCs w:val="21"/>
              </w:rPr>
            </w:pPr>
            <w:r>
              <w:rPr>
                <w:rFonts w:cs="Times New Roman"/>
                <w:spacing w:val="-4"/>
                <w:sz w:val="21"/>
                <w:szCs w:val="21"/>
              </w:rPr>
              <w:t>2021年12月28日</w:t>
            </w:r>
          </w:p>
        </w:tc>
        <w:tc>
          <w:tcPr>
            <w:tcW w:w="1701" w:type="dxa"/>
            <w:vAlign w:val="center"/>
          </w:tcPr>
          <w:p w14:paraId="564139F2">
            <w:pPr>
              <w:spacing w:before="156" w:after="156" w:line="240" w:lineRule="auto"/>
              <w:ind w:firstLine="0" w:firstLineChars="0"/>
              <w:rPr>
                <w:rFonts w:cs="Times New Roman"/>
                <w:spacing w:val="-4"/>
                <w:sz w:val="21"/>
                <w:szCs w:val="21"/>
              </w:rPr>
            </w:pPr>
            <w:r>
              <w:rPr>
                <w:rFonts w:cs="Times New Roman"/>
                <w:spacing w:val="-4"/>
                <w:sz w:val="21"/>
                <w:szCs w:val="21"/>
              </w:rPr>
              <w:t>《关于对福建广生堂药业股份有限公司的关注函》（创业板关注函〔2021〕第542号）</w:t>
            </w:r>
          </w:p>
        </w:tc>
        <w:tc>
          <w:tcPr>
            <w:tcW w:w="2410" w:type="dxa"/>
            <w:vAlign w:val="center"/>
          </w:tcPr>
          <w:p w14:paraId="1F58D767">
            <w:pPr>
              <w:spacing w:before="156" w:after="156" w:line="240" w:lineRule="auto"/>
              <w:ind w:firstLine="0" w:firstLineChars="0"/>
              <w:rPr>
                <w:rFonts w:cs="Times New Roman"/>
                <w:spacing w:val="-4"/>
                <w:sz w:val="21"/>
                <w:szCs w:val="21"/>
              </w:rPr>
            </w:pPr>
            <w:r>
              <w:rPr>
                <w:rFonts w:cs="Times New Roman"/>
                <w:spacing w:val="-4"/>
                <w:sz w:val="21"/>
                <w:szCs w:val="21"/>
              </w:rPr>
              <w:t>对《关于控股子公司广生中霖与上海药明康德签订抗新型冠状病毒小分子口服液3CL蛋白酶抑制剂合作开发合同书的公告》的相关事项进行问询</w:t>
            </w:r>
          </w:p>
        </w:tc>
        <w:tc>
          <w:tcPr>
            <w:tcW w:w="2065" w:type="dxa"/>
            <w:vAlign w:val="center"/>
          </w:tcPr>
          <w:p w14:paraId="2E4C3FC5">
            <w:pPr>
              <w:spacing w:before="156" w:after="156" w:line="240" w:lineRule="auto"/>
              <w:ind w:firstLine="0" w:firstLineChars="0"/>
              <w:rPr>
                <w:rFonts w:cs="Times New Roman"/>
                <w:spacing w:val="-4"/>
                <w:sz w:val="21"/>
                <w:szCs w:val="21"/>
              </w:rPr>
            </w:pPr>
            <w:r>
              <w:rPr>
                <w:rFonts w:cs="Times New Roman"/>
                <w:spacing w:val="-4"/>
                <w:sz w:val="21"/>
                <w:szCs w:val="21"/>
              </w:rPr>
              <w:t>公司按照函件要求，对关注函中提到的问题认真核查并进行了书面回复。详细情况已载于2021年12月31日发布的《福建广生堂药业股份有限公司关于对深圳证券交易所关注函回复的公告》（公告编号2021096）</w:t>
            </w:r>
          </w:p>
        </w:tc>
      </w:tr>
    </w:tbl>
    <w:p w14:paraId="05688B1D">
      <w:pPr>
        <w:spacing w:before="156" w:after="156"/>
        <w:ind w:firstLine="464"/>
        <w:rPr>
          <w:rFonts w:cs="Times New Roman"/>
          <w:spacing w:val="-4"/>
        </w:rPr>
      </w:pPr>
      <w:r>
        <w:rPr>
          <w:rFonts w:cs="Times New Roman"/>
          <w:spacing w:val="-4"/>
        </w:rPr>
        <w:t>除上述事项外，公司最近五年内无其他被证券监管部门和交易所处罚或采取监管措施的情况。</w:t>
      </w:r>
    </w:p>
    <w:p w14:paraId="2B07B5D2">
      <w:pPr>
        <w:spacing w:before="156" w:after="156"/>
        <w:ind w:firstLine="464"/>
        <w:rPr>
          <w:rFonts w:cs="Times New Roman"/>
          <w:spacing w:val="-4"/>
        </w:rPr>
      </w:pPr>
      <w:r>
        <w:rPr>
          <w:rFonts w:cs="Times New Roman"/>
          <w:spacing w:val="-4"/>
        </w:rPr>
        <w:t>特此公告。</w:t>
      </w:r>
    </w:p>
    <w:p w14:paraId="5D455CBC">
      <w:pPr>
        <w:spacing w:before="156" w:after="156"/>
        <w:ind w:firstLine="464"/>
        <w:rPr>
          <w:rFonts w:cs="Times New Roman"/>
          <w:spacing w:val="-4"/>
        </w:rPr>
      </w:pPr>
    </w:p>
    <w:p w14:paraId="0D40CACF">
      <w:pPr>
        <w:spacing w:before="156" w:after="156"/>
        <w:ind w:firstLine="480"/>
        <w:jc w:val="right"/>
        <w:rPr>
          <w:rFonts w:cs="Times New Roman"/>
        </w:rPr>
      </w:pPr>
      <w:bookmarkStart w:id="0" w:name="_Hlk127976025"/>
      <w:r>
        <w:rPr>
          <w:rFonts w:cs="Times New Roman"/>
        </w:rPr>
        <w:t>福建广生堂药业股份有限公司董事会</w:t>
      </w:r>
    </w:p>
    <w:p w14:paraId="09B11FA0">
      <w:pPr>
        <w:spacing w:before="156" w:after="156"/>
        <w:ind w:firstLine="460"/>
        <w:jc w:val="right"/>
        <w:rPr>
          <w:rFonts w:cs="Times New Roman"/>
        </w:rPr>
      </w:pPr>
      <w:r>
        <w:rPr>
          <w:rFonts w:cs="Times New Roman"/>
          <w:sz w:val="23"/>
          <w:szCs w:val="23"/>
        </w:rPr>
        <w:t>2025年</w:t>
      </w:r>
      <w:r>
        <w:rPr>
          <w:rFonts w:hint="eastAsia" w:cs="Times New Roman"/>
          <w:sz w:val="23"/>
          <w:szCs w:val="23"/>
        </w:rPr>
        <w:t>4</w:t>
      </w:r>
      <w:r>
        <w:rPr>
          <w:rFonts w:cs="Times New Roman"/>
          <w:sz w:val="23"/>
          <w:szCs w:val="23"/>
        </w:rPr>
        <w:t>月</w:t>
      </w:r>
      <w:r>
        <w:rPr>
          <w:rFonts w:hint="eastAsia" w:cs="Times New Roman"/>
          <w:sz w:val="23"/>
          <w:szCs w:val="23"/>
        </w:rPr>
        <w:t>2</w:t>
      </w:r>
      <w:r>
        <w:rPr>
          <w:rFonts w:cs="Times New Roman"/>
          <w:sz w:val="23"/>
          <w:szCs w:val="23"/>
        </w:rPr>
        <w:t>日</w:t>
      </w:r>
      <w:bookmarkEnd w:id="0"/>
    </w:p>
    <w:p w14:paraId="6CEAFD1B">
      <w:pPr>
        <w:spacing w:before="156" w:after="156"/>
        <w:ind w:firstLine="480"/>
        <w:rPr>
          <w:rFonts w:cs="Times New Roman"/>
          <w:bCs w:val="0"/>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9338114"/>
    </w:sdtPr>
    <w:sdtContent>
      <w:p w14:paraId="74C55D0E">
        <w:pPr>
          <w:pStyle w:val="9"/>
          <w:spacing w:before="120" w:after="120"/>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8AB2E">
    <w:pPr>
      <w:pStyle w:val="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BFC79">
    <w:pPr>
      <w:pStyle w:val="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4E84D">
    <w:pPr>
      <w:pStyle w:val="10"/>
      <w:pBdr>
        <w:bottom w:val="none" w:color="auto" w:sz="0" w:space="0"/>
      </w:pBdr>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2C273">
    <w:pPr>
      <w:pStyle w:val="10"/>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9C579">
    <w:pPr>
      <w:pStyle w:val="10"/>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ZmMTIwYjk1OTVkMjBjNjQxODhjNjI3YjAzNWZjYjYifQ=="/>
  </w:docVars>
  <w:rsids>
    <w:rsidRoot w:val="00172A27"/>
    <w:rsid w:val="00000BF9"/>
    <w:rsid w:val="00005E55"/>
    <w:rsid w:val="000140E2"/>
    <w:rsid w:val="000170AB"/>
    <w:rsid w:val="00020BDE"/>
    <w:rsid w:val="000430BD"/>
    <w:rsid w:val="0005201C"/>
    <w:rsid w:val="0005370C"/>
    <w:rsid w:val="000568D3"/>
    <w:rsid w:val="000643BF"/>
    <w:rsid w:val="000A1DDE"/>
    <w:rsid w:val="000A3894"/>
    <w:rsid w:val="000D17E4"/>
    <w:rsid w:val="000D51C5"/>
    <w:rsid w:val="000D57EE"/>
    <w:rsid w:val="000E5E4F"/>
    <w:rsid w:val="000F730B"/>
    <w:rsid w:val="001063C0"/>
    <w:rsid w:val="001360AD"/>
    <w:rsid w:val="00157FCA"/>
    <w:rsid w:val="00172A27"/>
    <w:rsid w:val="00173954"/>
    <w:rsid w:val="00175037"/>
    <w:rsid w:val="00180570"/>
    <w:rsid w:val="001A5CE2"/>
    <w:rsid w:val="001B3F7C"/>
    <w:rsid w:val="001B65ED"/>
    <w:rsid w:val="001C3DEF"/>
    <w:rsid w:val="001C42BD"/>
    <w:rsid w:val="001D7785"/>
    <w:rsid w:val="001D77E3"/>
    <w:rsid w:val="0022054F"/>
    <w:rsid w:val="00253740"/>
    <w:rsid w:val="00291BD4"/>
    <w:rsid w:val="002A5107"/>
    <w:rsid w:val="002B23DF"/>
    <w:rsid w:val="002B6D43"/>
    <w:rsid w:val="00357EB1"/>
    <w:rsid w:val="003866D6"/>
    <w:rsid w:val="0039465F"/>
    <w:rsid w:val="003B6C5F"/>
    <w:rsid w:val="003C19CF"/>
    <w:rsid w:val="003C5469"/>
    <w:rsid w:val="00425A95"/>
    <w:rsid w:val="00455471"/>
    <w:rsid w:val="004A70C4"/>
    <w:rsid w:val="004B1AD2"/>
    <w:rsid w:val="004D284A"/>
    <w:rsid w:val="00506AF3"/>
    <w:rsid w:val="00517AD0"/>
    <w:rsid w:val="0054758E"/>
    <w:rsid w:val="00554C32"/>
    <w:rsid w:val="00554C56"/>
    <w:rsid w:val="00562861"/>
    <w:rsid w:val="005748A3"/>
    <w:rsid w:val="0059172A"/>
    <w:rsid w:val="006138A7"/>
    <w:rsid w:val="0066227C"/>
    <w:rsid w:val="00672113"/>
    <w:rsid w:val="00675BB3"/>
    <w:rsid w:val="00686255"/>
    <w:rsid w:val="00690618"/>
    <w:rsid w:val="00690DA8"/>
    <w:rsid w:val="00691EE7"/>
    <w:rsid w:val="00694E33"/>
    <w:rsid w:val="00697E30"/>
    <w:rsid w:val="006A0316"/>
    <w:rsid w:val="006D230D"/>
    <w:rsid w:val="00702BC2"/>
    <w:rsid w:val="00703177"/>
    <w:rsid w:val="00730AC7"/>
    <w:rsid w:val="00732EE4"/>
    <w:rsid w:val="0073547C"/>
    <w:rsid w:val="00736ECD"/>
    <w:rsid w:val="00740B5D"/>
    <w:rsid w:val="0075112A"/>
    <w:rsid w:val="00787FF3"/>
    <w:rsid w:val="007C2985"/>
    <w:rsid w:val="007D1420"/>
    <w:rsid w:val="00805B9D"/>
    <w:rsid w:val="00807397"/>
    <w:rsid w:val="00814ED6"/>
    <w:rsid w:val="008170AC"/>
    <w:rsid w:val="0083632F"/>
    <w:rsid w:val="008406CC"/>
    <w:rsid w:val="0084353A"/>
    <w:rsid w:val="00863A8D"/>
    <w:rsid w:val="008739D0"/>
    <w:rsid w:val="008750F3"/>
    <w:rsid w:val="008813DA"/>
    <w:rsid w:val="008D306A"/>
    <w:rsid w:val="008E417F"/>
    <w:rsid w:val="008E732A"/>
    <w:rsid w:val="008F5233"/>
    <w:rsid w:val="00904698"/>
    <w:rsid w:val="00922DA4"/>
    <w:rsid w:val="00934322"/>
    <w:rsid w:val="00936CFA"/>
    <w:rsid w:val="0094252C"/>
    <w:rsid w:val="009468C5"/>
    <w:rsid w:val="00981281"/>
    <w:rsid w:val="009A17EC"/>
    <w:rsid w:val="009A2F82"/>
    <w:rsid w:val="009C17E3"/>
    <w:rsid w:val="009C5543"/>
    <w:rsid w:val="00A019CC"/>
    <w:rsid w:val="00A051D8"/>
    <w:rsid w:val="00A064C3"/>
    <w:rsid w:val="00A222E3"/>
    <w:rsid w:val="00A27D05"/>
    <w:rsid w:val="00A52EA8"/>
    <w:rsid w:val="00A70458"/>
    <w:rsid w:val="00A868CE"/>
    <w:rsid w:val="00A93E7C"/>
    <w:rsid w:val="00AA23B1"/>
    <w:rsid w:val="00B22DD8"/>
    <w:rsid w:val="00B52CCC"/>
    <w:rsid w:val="00B67B26"/>
    <w:rsid w:val="00B772C1"/>
    <w:rsid w:val="00B87109"/>
    <w:rsid w:val="00B90663"/>
    <w:rsid w:val="00B93FFE"/>
    <w:rsid w:val="00BA72AE"/>
    <w:rsid w:val="00BB48D7"/>
    <w:rsid w:val="00BC3567"/>
    <w:rsid w:val="00BC5AA2"/>
    <w:rsid w:val="00BE6CBA"/>
    <w:rsid w:val="00BF55F5"/>
    <w:rsid w:val="00C2670F"/>
    <w:rsid w:val="00C272D6"/>
    <w:rsid w:val="00C64316"/>
    <w:rsid w:val="00C64796"/>
    <w:rsid w:val="00C73677"/>
    <w:rsid w:val="00C76CF4"/>
    <w:rsid w:val="00C8211E"/>
    <w:rsid w:val="00C87762"/>
    <w:rsid w:val="00CB1D38"/>
    <w:rsid w:val="00CB4EB7"/>
    <w:rsid w:val="00CB5EEC"/>
    <w:rsid w:val="00CB6A5D"/>
    <w:rsid w:val="00CC6E01"/>
    <w:rsid w:val="00CD45E6"/>
    <w:rsid w:val="00CD7AEA"/>
    <w:rsid w:val="00CE7D21"/>
    <w:rsid w:val="00D13A53"/>
    <w:rsid w:val="00D14564"/>
    <w:rsid w:val="00D443B2"/>
    <w:rsid w:val="00D635C5"/>
    <w:rsid w:val="00D65221"/>
    <w:rsid w:val="00D922B8"/>
    <w:rsid w:val="00D96A76"/>
    <w:rsid w:val="00DA1400"/>
    <w:rsid w:val="00DB4002"/>
    <w:rsid w:val="00DB5B4B"/>
    <w:rsid w:val="00DD2C66"/>
    <w:rsid w:val="00DD57E4"/>
    <w:rsid w:val="00DE5134"/>
    <w:rsid w:val="00DE5B1E"/>
    <w:rsid w:val="00E0248A"/>
    <w:rsid w:val="00E20A23"/>
    <w:rsid w:val="00E26354"/>
    <w:rsid w:val="00E325BF"/>
    <w:rsid w:val="00E61C6D"/>
    <w:rsid w:val="00E64E0A"/>
    <w:rsid w:val="00E651C7"/>
    <w:rsid w:val="00EC361F"/>
    <w:rsid w:val="00F1611E"/>
    <w:rsid w:val="00F22C34"/>
    <w:rsid w:val="00F34DFD"/>
    <w:rsid w:val="00F362C6"/>
    <w:rsid w:val="00F3684A"/>
    <w:rsid w:val="00F4442A"/>
    <w:rsid w:val="00F56A18"/>
    <w:rsid w:val="00F62572"/>
    <w:rsid w:val="00F67015"/>
    <w:rsid w:val="00F75FD3"/>
    <w:rsid w:val="00F82741"/>
    <w:rsid w:val="00F96F2A"/>
    <w:rsid w:val="00FB4EC8"/>
    <w:rsid w:val="00FD0137"/>
    <w:rsid w:val="0FAB0273"/>
    <w:rsid w:val="130567E3"/>
    <w:rsid w:val="1AB12AB3"/>
    <w:rsid w:val="27CB73FA"/>
    <w:rsid w:val="339C68AB"/>
    <w:rsid w:val="3E995074"/>
    <w:rsid w:val="440E09FC"/>
    <w:rsid w:val="4C725E58"/>
    <w:rsid w:val="52C21858"/>
    <w:rsid w:val="53FA74B5"/>
    <w:rsid w:val="64B66221"/>
    <w:rsid w:val="6AED175B"/>
    <w:rsid w:val="6F486174"/>
    <w:rsid w:val="78D62A07"/>
    <w:rsid w:val="7CC36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360" w:lineRule="auto"/>
      <w:ind w:firstLine="200" w:firstLineChars="200"/>
      <w:jc w:val="both"/>
    </w:pPr>
    <w:rPr>
      <w:rFonts w:ascii="Times New Roman" w:hAnsi="Times New Roman" w:eastAsia="宋体" w:cs="Arial"/>
      <w:bCs/>
      <w:kern w:val="2"/>
      <w:sz w:val="24"/>
      <w:szCs w:val="22"/>
      <w:lang w:val="en-US" w:eastAsia="zh-CN" w:bidi="ar-SA"/>
    </w:rPr>
  </w:style>
  <w:style w:type="paragraph" w:styleId="2">
    <w:name w:val="heading 1"/>
    <w:basedOn w:val="1"/>
    <w:next w:val="1"/>
    <w:link w:val="17"/>
    <w:qFormat/>
    <w:uiPriority w:val="9"/>
    <w:pPr>
      <w:keepNext/>
      <w:keepLines/>
      <w:outlineLvl w:val="0"/>
    </w:pPr>
    <w:rPr>
      <w:b/>
      <w:bCs w:val="0"/>
      <w:kern w:val="44"/>
      <w:szCs w:val="44"/>
    </w:rPr>
  </w:style>
  <w:style w:type="paragraph" w:styleId="3">
    <w:name w:val="heading 2"/>
    <w:basedOn w:val="1"/>
    <w:next w:val="1"/>
    <w:link w:val="18"/>
    <w:unhideWhenUsed/>
    <w:qFormat/>
    <w:uiPriority w:val="9"/>
    <w:pPr>
      <w:keepNext/>
      <w:keepLines/>
      <w:spacing w:before="156" w:after="156"/>
      <w:ind w:firstLine="480"/>
      <w:outlineLvl w:val="1"/>
    </w:pPr>
    <w:rPr>
      <w:rFonts w:cstheme="majorBidi"/>
      <w:b/>
      <w:bCs w:val="0"/>
      <w:szCs w:val="32"/>
    </w:rPr>
  </w:style>
  <w:style w:type="paragraph" w:styleId="4">
    <w:name w:val="heading 3"/>
    <w:basedOn w:val="1"/>
    <w:next w:val="1"/>
    <w:link w:val="19"/>
    <w:unhideWhenUsed/>
    <w:qFormat/>
    <w:uiPriority w:val="9"/>
    <w:pPr>
      <w:keepNext/>
      <w:keepLines/>
      <w:snapToGrid/>
      <w:outlineLvl w:val="2"/>
    </w:pPr>
    <w:rPr>
      <w:b/>
      <w:bCs w:val="0"/>
      <w:szCs w:val="32"/>
    </w:rPr>
  </w:style>
  <w:style w:type="paragraph" w:styleId="5">
    <w:name w:val="heading 4"/>
    <w:basedOn w:val="1"/>
    <w:next w:val="1"/>
    <w:link w:val="20"/>
    <w:unhideWhenUsed/>
    <w:qFormat/>
    <w:uiPriority w:val="9"/>
    <w:pPr>
      <w:keepNext/>
      <w:keepLines/>
      <w:outlineLvl w:val="3"/>
    </w:pPr>
    <w:rPr>
      <w:rFonts w:cstheme="majorBidi"/>
      <w:b/>
      <w:bCs w:val="0"/>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4"/>
    <w:semiHidden/>
    <w:unhideWhenUsed/>
    <w:qFormat/>
    <w:uiPriority w:val="99"/>
    <w:pPr>
      <w:jc w:val="left"/>
    </w:pPr>
  </w:style>
  <w:style w:type="paragraph" w:styleId="7">
    <w:name w:val="Body Text"/>
    <w:basedOn w:val="1"/>
    <w:qFormat/>
    <w:uiPriority w:val="1"/>
    <w:pPr>
      <w:ind w:left="220"/>
    </w:pPr>
    <w:rPr>
      <w:szCs w:val="24"/>
    </w:rPr>
  </w:style>
  <w:style w:type="paragraph" w:styleId="8">
    <w:name w:val="Balloon Text"/>
    <w:basedOn w:val="1"/>
    <w:link w:val="23"/>
    <w:semiHidden/>
    <w:unhideWhenUsed/>
    <w:qFormat/>
    <w:uiPriority w:val="99"/>
    <w:pPr>
      <w:spacing w:before="0" w:after="0" w:line="240" w:lineRule="auto"/>
    </w:pPr>
    <w:rPr>
      <w:sz w:val="18"/>
      <w:szCs w:val="18"/>
    </w:rPr>
  </w:style>
  <w:style w:type="paragraph" w:styleId="9">
    <w:name w:val="footer"/>
    <w:basedOn w:val="1"/>
    <w:link w:val="22"/>
    <w:unhideWhenUsed/>
    <w:qFormat/>
    <w:uiPriority w:val="99"/>
    <w:pPr>
      <w:tabs>
        <w:tab w:val="center" w:pos="4513"/>
        <w:tab w:val="right" w:pos="9026"/>
      </w:tabs>
      <w:spacing w:line="240" w:lineRule="auto"/>
      <w:jc w:val="left"/>
    </w:pPr>
    <w:rPr>
      <w:sz w:val="18"/>
      <w:szCs w:val="18"/>
    </w:rPr>
  </w:style>
  <w:style w:type="paragraph" w:styleId="10">
    <w:name w:val="header"/>
    <w:basedOn w:val="1"/>
    <w:link w:val="21"/>
    <w:unhideWhenUsed/>
    <w:qFormat/>
    <w:uiPriority w:val="99"/>
    <w:pPr>
      <w:pBdr>
        <w:bottom w:val="single" w:color="auto" w:sz="6" w:space="1"/>
      </w:pBdr>
      <w:tabs>
        <w:tab w:val="center" w:pos="4513"/>
        <w:tab w:val="right" w:pos="9026"/>
      </w:tabs>
      <w:spacing w:line="240" w:lineRule="auto"/>
      <w:jc w:val="center"/>
    </w:pPr>
    <w:rPr>
      <w:sz w:val="18"/>
      <w:szCs w:val="18"/>
    </w:rPr>
  </w:style>
  <w:style w:type="paragraph" w:styleId="11">
    <w:name w:val="Normal (Web)"/>
    <w:basedOn w:val="1"/>
    <w:semiHidden/>
    <w:unhideWhenUsed/>
    <w:qFormat/>
    <w:uiPriority w:val="99"/>
  </w:style>
  <w:style w:type="paragraph" w:styleId="12">
    <w:name w:val="annotation subject"/>
    <w:basedOn w:val="6"/>
    <w:next w:val="6"/>
    <w:link w:val="25"/>
    <w:semiHidden/>
    <w:unhideWhenUsed/>
    <w:qFormat/>
    <w:uiPriority w:val="99"/>
    <w:rPr>
      <w:b/>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customStyle="1" w:styleId="17">
    <w:name w:val="标题 1 字符"/>
    <w:basedOn w:val="15"/>
    <w:link w:val="2"/>
    <w:qFormat/>
    <w:uiPriority w:val="9"/>
    <w:rPr>
      <w:rFonts w:ascii="Times New Roman" w:hAnsi="Times New Roman" w:eastAsia="宋体"/>
      <w:b/>
      <w:kern w:val="44"/>
      <w:sz w:val="24"/>
      <w:szCs w:val="44"/>
    </w:rPr>
  </w:style>
  <w:style w:type="character" w:customStyle="1" w:styleId="18">
    <w:name w:val="标题 2 字符"/>
    <w:basedOn w:val="15"/>
    <w:link w:val="3"/>
    <w:qFormat/>
    <w:uiPriority w:val="9"/>
    <w:rPr>
      <w:rFonts w:ascii="Times New Roman" w:hAnsi="Times New Roman" w:eastAsia="宋体" w:cstheme="majorBidi"/>
      <w:b/>
      <w:sz w:val="24"/>
      <w:szCs w:val="32"/>
    </w:rPr>
  </w:style>
  <w:style w:type="character" w:customStyle="1" w:styleId="19">
    <w:name w:val="标题 3 字符"/>
    <w:basedOn w:val="15"/>
    <w:link w:val="4"/>
    <w:qFormat/>
    <w:uiPriority w:val="9"/>
    <w:rPr>
      <w:rFonts w:ascii="Times New Roman" w:hAnsi="Times New Roman" w:eastAsia="宋体"/>
      <w:b/>
      <w:sz w:val="24"/>
      <w:szCs w:val="32"/>
    </w:rPr>
  </w:style>
  <w:style w:type="character" w:customStyle="1" w:styleId="20">
    <w:name w:val="标题 4 字符"/>
    <w:basedOn w:val="15"/>
    <w:link w:val="5"/>
    <w:qFormat/>
    <w:uiPriority w:val="9"/>
    <w:rPr>
      <w:rFonts w:ascii="Arial" w:hAnsi="Arial" w:eastAsia="楷体_GB2312" w:cstheme="majorBidi"/>
      <w:b/>
      <w:sz w:val="24"/>
      <w:szCs w:val="28"/>
    </w:rPr>
  </w:style>
  <w:style w:type="character" w:customStyle="1" w:styleId="21">
    <w:name w:val="页眉 字符"/>
    <w:basedOn w:val="15"/>
    <w:link w:val="10"/>
    <w:qFormat/>
    <w:uiPriority w:val="99"/>
    <w:rPr>
      <w:rFonts w:ascii="Times New Roman" w:hAnsi="Times New Roman" w:eastAsia="宋体"/>
      <w:sz w:val="18"/>
      <w:szCs w:val="18"/>
    </w:rPr>
  </w:style>
  <w:style w:type="character" w:customStyle="1" w:styleId="22">
    <w:name w:val="页脚 字符"/>
    <w:basedOn w:val="15"/>
    <w:link w:val="9"/>
    <w:qFormat/>
    <w:uiPriority w:val="99"/>
    <w:rPr>
      <w:rFonts w:ascii="Times New Roman" w:hAnsi="Times New Roman" w:eastAsia="宋体"/>
      <w:sz w:val="18"/>
      <w:szCs w:val="18"/>
    </w:rPr>
  </w:style>
  <w:style w:type="character" w:customStyle="1" w:styleId="23">
    <w:name w:val="批注框文本 字符"/>
    <w:basedOn w:val="15"/>
    <w:link w:val="8"/>
    <w:semiHidden/>
    <w:qFormat/>
    <w:uiPriority w:val="99"/>
    <w:rPr>
      <w:rFonts w:ascii="Times New Roman" w:hAnsi="Times New Roman" w:eastAsia="宋体"/>
      <w:sz w:val="18"/>
      <w:szCs w:val="18"/>
    </w:rPr>
  </w:style>
  <w:style w:type="character" w:customStyle="1" w:styleId="24">
    <w:name w:val="批注文字 字符"/>
    <w:basedOn w:val="15"/>
    <w:link w:val="6"/>
    <w:semiHidden/>
    <w:qFormat/>
    <w:uiPriority w:val="99"/>
    <w:rPr>
      <w:rFonts w:ascii="Times New Roman" w:hAnsi="Times New Roman" w:eastAsia="宋体"/>
    </w:rPr>
  </w:style>
  <w:style w:type="character" w:customStyle="1" w:styleId="25">
    <w:name w:val="批注主题 字符"/>
    <w:basedOn w:val="24"/>
    <w:link w:val="12"/>
    <w:semiHidden/>
    <w:qFormat/>
    <w:uiPriority w:val="99"/>
    <w:rPr>
      <w:rFonts w:ascii="Times New Roman" w:hAnsi="Times New Roman" w:eastAsia="宋体"/>
      <w:b/>
    </w:rPr>
  </w:style>
  <w:style w:type="paragraph" w:customStyle="1" w:styleId="26">
    <w:name w:val="005正文"/>
    <w:basedOn w:val="1"/>
    <w:link w:val="27"/>
    <w:qFormat/>
    <w:uiPriority w:val="0"/>
    <w:pPr>
      <w:adjustRightInd/>
      <w:snapToGrid/>
      <w:spacing w:before="0" w:after="0" w:afterLines="0"/>
    </w:pPr>
    <w:rPr>
      <w:rFonts w:cs="Times New Roman"/>
      <w:bCs w:val="0"/>
    </w:rPr>
  </w:style>
  <w:style w:type="character" w:customStyle="1" w:styleId="27">
    <w:name w:val="005正文 Char"/>
    <w:link w:val="26"/>
    <w:qFormat/>
    <w:locked/>
    <w:uiPriority w:val="0"/>
    <w:rPr>
      <w:kern w:val="2"/>
      <w:sz w:val="24"/>
      <w:szCs w:val="22"/>
    </w:rPr>
  </w:style>
  <w:style w:type="paragraph" w:styleId="28">
    <w:name w:val="List Paragraph"/>
    <w:basedOn w:val="1"/>
    <w:qFormat/>
    <w:uiPriority w:val="1"/>
    <w:pPr>
      <w:spacing w:before="158"/>
      <w:ind w:left="1302" w:hanging="601"/>
    </w:pPr>
  </w:style>
  <w:style w:type="paragraph" w:customStyle="1" w:styleId="29">
    <w:name w:val="Revision"/>
    <w:hidden/>
    <w:semiHidden/>
    <w:qFormat/>
    <w:uiPriority w:val="99"/>
    <w:rPr>
      <w:rFonts w:ascii="Times New Roman" w:hAnsi="Times New Roman" w:eastAsia="宋体" w:cs="Arial"/>
      <w:bCs/>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37602-0414-4A75-8E76-200299516AF2}">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2279</Words>
  <Characters>2389</Characters>
  <Lines>17</Lines>
  <Paragraphs>4</Paragraphs>
  <TotalTime>70</TotalTime>
  <ScaleCrop>false</ScaleCrop>
  <LinksUpToDate>false</LinksUpToDate>
  <CharactersWithSpaces>2396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2020-02-27T11:56:00Z</dcterms:created>
  <dc:creator>mxy</dc:creator>
  <cp:lastModifiedBy>cdq</cp:lastModifiedBy>
  <dcterms:modified xsi:type="dcterms:W3CDTF">2025-04-02T08:31:28Z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D0969ABB839141AB96474FE8486F4CDA</vt:lpwstr>
  </property>
  <property fmtid="{D5CDD505-2E9C-101B-9397-08002B2CF9AE}" pid="4" name="KSOTemplateDocerSaveRecord">
    <vt:lpwstr>eyJoZGlkIjoiY2Q4MDAzNjNiM2EwYjNjY2VkN2I2ZWY4OTg5YTA1ZWYiLCJ1c2VySWQiOiIxMzk5OTUwMzQxIn0=</vt:lpwstr>
  </property>
</Properties>
</file>