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6B82E">
      <w:pPr>
        <w:spacing w:line="360" w:lineRule="auto"/>
        <w:rPr>
          <w:kern w:val="0"/>
          <w:szCs w:val="21"/>
        </w:rPr>
      </w:pPr>
      <w:r>
        <w:rPr>
          <w:kern w:val="0"/>
          <w:sz w:val="24"/>
          <w:szCs w:val="24"/>
        </w:rPr>
        <w:t>证券代码</w:t>
      </w:r>
      <w:r>
        <w:rPr>
          <w:rFonts w:hint="eastAsia"/>
          <w:kern w:val="0"/>
          <w:sz w:val="24"/>
          <w:szCs w:val="24"/>
        </w:rPr>
        <w:t>：</w:t>
      </w:r>
      <w:r>
        <w:rPr>
          <w:kern w:val="0"/>
          <w:sz w:val="24"/>
          <w:szCs w:val="24"/>
        </w:rPr>
        <w:t xml:space="preserve">300436      </w:t>
      </w:r>
      <w:r>
        <w:rPr>
          <w:rFonts w:hint="eastAsia"/>
          <w:kern w:val="0"/>
          <w:sz w:val="24"/>
          <w:szCs w:val="24"/>
        </w:rPr>
        <w:t xml:space="preserve">       </w:t>
      </w:r>
      <w:r>
        <w:rPr>
          <w:kern w:val="0"/>
          <w:sz w:val="24"/>
          <w:szCs w:val="24"/>
        </w:rPr>
        <w:t>证券简称：广生堂   </w:t>
      </w:r>
      <w:r>
        <w:rPr>
          <w:rFonts w:hint="eastAsia"/>
          <w:kern w:val="0"/>
          <w:sz w:val="24"/>
          <w:szCs w:val="24"/>
        </w:rPr>
        <w:t xml:space="preserve">        </w:t>
      </w:r>
      <w:r>
        <w:rPr>
          <w:kern w:val="0"/>
          <w:sz w:val="24"/>
          <w:szCs w:val="24"/>
        </w:rPr>
        <w:t>  公告编号：20</w:t>
      </w:r>
      <w:r>
        <w:rPr>
          <w:rFonts w:hint="eastAsia"/>
          <w:kern w:val="0"/>
          <w:sz w:val="24"/>
          <w:szCs w:val="24"/>
        </w:rPr>
        <w:t>250</w:t>
      </w:r>
      <w:r>
        <w:rPr>
          <w:rFonts w:hint="eastAsia"/>
          <w:kern w:val="0"/>
          <w:sz w:val="24"/>
          <w:szCs w:val="24"/>
          <w:lang w:val="en-US" w:eastAsia="zh-CN"/>
        </w:rPr>
        <w:t>22</w:t>
      </w:r>
      <w:bookmarkStart w:id="1" w:name="_GoBack"/>
      <w:bookmarkEnd w:id="1"/>
      <w:r>
        <w:rPr>
          <w:rFonts w:hint="eastAsia"/>
          <w:kern w:val="0"/>
          <w:sz w:val="24"/>
          <w:szCs w:val="24"/>
        </w:rPr>
        <w:t xml:space="preserve"> </w:t>
      </w:r>
    </w:p>
    <w:p w14:paraId="6164BDD0">
      <w:pPr>
        <w:spacing w:before="156" w:beforeLines="50"/>
        <w:jc w:val="center"/>
        <w:rPr>
          <w:b/>
          <w:kern w:val="0"/>
          <w:sz w:val="32"/>
          <w:szCs w:val="32"/>
        </w:rPr>
      </w:pPr>
      <w:r>
        <w:rPr>
          <w:b/>
          <w:kern w:val="0"/>
          <w:sz w:val="32"/>
          <w:szCs w:val="32"/>
        </w:rPr>
        <w:t>福建广生堂药业股份有限公司</w:t>
      </w:r>
    </w:p>
    <w:p w14:paraId="70D2AD33">
      <w:pPr>
        <w:spacing w:after="156" w:afterLines="50"/>
        <w:jc w:val="center"/>
        <w:rPr>
          <w:b/>
          <w:sz w:val="24"/>
          <w:szCs w:val="24"/>
        </w:rPr>
      </w:pPr>
      <w:r>
        <w:rPr>
          <w:rFonts w:hint="eastAsia"/>
          <w:b/>
          <w:sz w:val="32"/>
          <w:szCs w:val="32"/>
        </w:rPr>
        <w:t>关于子公司为上市公司提供担保的公告</w:t>
      </w:r>
    </w:p>
    <w:tbl>
      <w:tblPr>
        <w:tblStyle w:val="7"/>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3373E8A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142" w:hRule="atLeast"/>
        </w:trPr>
        <w:tc>
          <w:tcPr>
            <w:tcW w:w="8522" w:type="dxa"/>
            <w:vAlign w:val="center"/>
          </w:tcPr>
          <w:p w14:paraId="5D4B7928">
            <w:pPr>
              <w:widowControl/>
              <w:ind w:firstLine="600" w:firstLineChars="200"/>
              <w:rPr>
                <w:b/>
                <w:sz w:val="30"/>
                <w:szCs w:val="30"/>
              </w:rPr>
            </w:pPr>
            <w:r>
              <w:rPr>
                <w:kern w:val="0"/>
                <w:sz w:val="30"/>
                <w:szCs w:val="30"/>
              </w:rPr>
              <w:t>本公司及董事会全体成员保证信息披露的内容真实、准确、完整，没有虚假记载、误导性陈述或重大遗漏。</w:t>
            </w:r>
          </w:p>
        </w:tc>
      </w:tr>
    </w:tbl>
    <w:p w14:paraId="00B0D81D">
      <w:pPr>
        <w:pStyle w:val="6"/>
        <w:spacing w:before="156" w:beforeLines="50" w:beforeAutospacing="0" w:after="0" w:afterAutospacing="0" w:line="360" w:lineRule="auto"/>
        <w:ind w:firstLine="482" w:firstLineChars="200"/>
        <w:rPr>
          <w:rFonts w:ascii="Times New Roman" w:hAnsi="Times New Roman" w:cs="Times New Roman"/>
          <w:b/>
          <w:kern w:val="2"/>
          <w:szCs w:val="21"/>
        </w:rPr>
      </w:pPr>
      <w:r>
        <w:rPr>
          <w:rFonts w:hint="eastAsia" w:ascii="Times New Roman" w:hAnsi="Times New Roman" w:cs="Times New Roman"/>
          <w:b/>
          <w:kern w:val="2"/>
          <w:szCs w:val="21"/>
        </w:rPr>
        <w:t>一、担保情况概述</w:t>
      </w:r>
    </w:p>
    <w:p w14:paraId="1B5F7FAB">
      <w:pPr>
        <w:pStyle w:val="6"/>
        <w:spacing w:before="0" w:beforeAutospacing="0" w:after="0" w:afterAutospacing="0" w:line="360" w:lineRule="auto"/>
        <w:ind w:firstLine="480" w:firstLineChars="200"/>
        <w:jc w:val="both"/>
        <w:rPr>
          <w:rFonts w:ascii="Times New Roman" w:hAnsi="Times New Roman" w:cs="Times New Roman"/>
          <w:kern w:val="2"/>
          <w:szCs w:val="21"/>
        </w:rPr>
      </w:pPr>
      <w:r>
        <w:rPr>
          <w:rFonts w:hint="eastAsia" w:ascii="Times New Roman" w:hAnsi="Times New Roman" w:cs="Times New Roman"/>
          <w:kern w:val="2"/>
          <w:szCs w:val="21"/>
        </w:rPr>
        <w:t>福建广生堂药业股份有限公司（以下简称“公司”“广生堂”）于2024年4月18日召开第四届董事会第三十次会议和2024年5月13日召开2023年年度股东大会，审议通过了《关于2024年度银行贷款额度及担保事项的议案》，同意公司及子公司向银行申请贷款总额度不超过6亿元人民币或等值外币，并在贷款总额度内提供担保，包括公司或子公司以其自有资产提供担保、本公司为子公司提供担保、子公司为本公司提供担保以及子公司间相互提供担保。具体内容详见公司2024年4月20日披露于巨潮资讯网的《关于2024年度银行贷款额度及担保事项的公告》（公告编号：2024031）。</w:t>
      </w:r>
    </w:p>
    <w:p w14:paraId="3FB30AA5">
      <w:pPr>
        <w:pStyle w:val="6"/>
        <w:spacing w:before="0" w:beforeAutospacing="0" w:after="0" w:afterAutospacing="0" w:line="360" w:lineRule="auto"/>
        <w:ind w:firstLine="480" w:firstLineChars="200"/>
        <w:jc w:val="both"/>
        <w:rPr>
          <w:rFonts w:ascii="Times New Roman" w:hAnsi="Times New Roman" w:cs="Times New Roman"/>
          <w:bCs/>
          <w:kern w:val="2"/>
          <w:sz w:val="21"/>
          <w:szCs w:val="21"/>
        </w:rPr>
      </w:pPr>
      <w:r>
        <w:rPr>
          <w:rFonts w:hint="eastAsia" w:ascii="Times New Roman" w:hAnsi="Times New Roman" w:cs="Times New Roman"/>
          <w:kern w:val="2"/>
          <w:szCs w:val="21"/>
        </w:rPr>
        <w:t>为</w:t>
      </w:r>
      <w:bookmarkStart w:id="0" w:name="OLE_LINK1"/>
      <w:r>
        <w:rPr>
          <w:rFonts w:hint="eastAsia" w:ascii="Times New Roman" w:hAnsi="Times New Roman" w:cs="Times New Roman"/>
          <w:kern w:val="2"/>
          <w:szCs w:val="21"/>
        </w:rPr>
        <w:t>满足日常经营资金需求，公司向上海浦东发展银行股份有限公司福州分行（简称“浦发银行”）申请银行授信业务，公司控股子公司福建广生中霖生物科技有限公司（以下简称“广生中霖”）经履行内部审议程序同意为公司向浦发银行申请流动资金贷款、开立银行承兑汇票等授信业务本金余额不超过人民币2,000万元提供连带责任保证。本次担保后公司及其子公司实际提供担保的余额为2,000万元，占公司最近一期经审计（即2023年度）净资产的3.87%。</w:t>
      </w:r>
    </w:p>
    <w:bookmarkEnd w:id="0"/>
    <w:p w14:paraId="52AC44FD">
      <w:pPr>
        <w:pStyle w:val="6"/>
        <w:spacing w:before="0" w:beforeAutospacing="0" w:after="0" w:afterAutospacing="0" w:line="360" w:lineRule="auto"/>
        <w:ind w:firstLine="480" w:firstLineChars="200"/>
        <w:rPr>
          <w:rFonts w:ascii="Times New Roman" w:hAnsi="Times New Roman" w:cs="Times New Roman"/>
          <w:kern w:val="2"/>
          <w:szCs w:val="21"/>
        </w:rPr>
      </w:pPr>
      <w:r>
        <w:rPr>
          <w:rFonts w:hint="eastAsia" w:ascii="Times New Roman" w:hAnsi="Times New Roman" w:cs="Times New Roman"/>
          <w:kern w:val="2"/>
          <w:szCs w:val="21"/>
        </w:rPr>
        <w:t>根据《深圳证券交易所创业板股票上市规则》《深圳证券交易所上市公司自律监管指引第2号—创业板上市公司规范运作》以及《公司章程》等的有关规定，本次担保已履行内部审批程序，无需提交公司董事会、股东大会审议。</w:t>
      </w:r>
    </w:p>
    <w:p w14:paraId="35DF9113">
      <w:pPr>
        <w:pStyle w:val="6"/>
        <w:numPr>
          <w:ilvl w:val="0"/>
          <w:numId w:val="1"/>
        </w:numPr>
        <w:spacing w:before="156" w:beforeLines="50" w:beforeAutospacing="0" w:after="0" w:afterAutospacing="0" w:line="360" w:lineRule="auto"/>
        <w:ind w:firstLine="482" w:firstLineChars="200"/>
        <w:rPr>
          <w:rFonts w:ascii="Times New Roman" w:hAnsi="Times New Roman" w:cs="Times New Roman"/>
          <w:b/>
          <w:kern w:val="2"/>
          <w:szCs w:val="21"/>
        </w:rPr>
      </w:pPr>
      <w:r>
        <w:rPr>
          <w:rFonts w:hint="eastAsia" w:ascii="Times New Roman" w:hAnsi="Times New Roman" w:cs="Times New Roman"/>
          <w:b/>
          <w:kern w:val="2"/>
          <w:szCs w:val="21"/>
        </w:rPr>
        <w:t xml:space="preserve">被担保人基本情况 </w:t>
      </w:r>
    </w:p>
    <w:p w14:paraId="5CCD66B5">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1、公司名称：福建广生堂药业股份有限公司</w:t>
      </w:r>
    </w:p>
    <w:p w14:paraId="4EEA21AB">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2、成立日期：2001年06月28日</w:t>
      </w:r>
    </w:p>
    <w:p w14:paraId="071A76E4">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3、注册地点：福建省宁德市柘荣县富源工业园区1-7幢</w:t>
      </w:r>
    </w:p>
    <w:p w14:paraId="1D4FAD2C">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4、法定代表人：李国平</w:t>
      </w:r>
    </w:p>
    <w:p w14:paraId="14B32822">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5、注册资本：15</w:t>
      </w:r>
      <w:r>
        <w:rPr>
          <w:rFonts w:ascii="Times New Roman" w:hAnsi="Times New Roman" w:cs="Times New Roman"/>
          <w:bCs/>
          <w:kern w:val="2"/>
          <w:szCs w:val="21"/>
        </w:rPr>
        <w:t>,</w:t>
      </w:r>
      <w:r>
        <w:rPr>
          <w:rFonts w:hint="eastAsia" w:ascii="Times New Roman" w:hAnsi="Times New Roman" w:cs="Times New Roman"/>
          <w:bCs/>
          <w:kern w:val="2"/>
          <w:szCs w:val="21"/>
        </w:rPr>
        <w:t>926.7万人民币</w:t>
      </w:r>
    </w:p>
    <w:p w14:paraId="38176E34">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6、经营范围：许可项目：药品生产；药品批发；药品零售；食品销售；食品生产；保健食品生产；药品进出口；药品互联网信息服务。（依法须经批准的项目，经相关部门批准后方可开展经营活动，具体经营项目以相关部门批准文件或许可证件为准）一般项目：医学研究和试验发展；保健食品（预包装）销售；技术服务、技术开发、技术咨询、技术交流、技术转让、技术推广；技术进出口；货物进出口。（除依法须经批准的项目外，凭营业执照依法自主开展经营活动）</w:t>
      </w:r>
    </w:p>
    <w:p w14:paraId="75EB9029">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7、担保方与公司的关系：广生中霖为公司控股子公司。</w:t>
      </w:r>
    </w:p>
    <w:p w14:paraId="69067BD7">
      <w:pPr>
        <w:pStyle w:val="6"/>
        <w:spacing w:before="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8、广生堂最近一年一期的合并报表财务数据</w:t>
      </w:r>
    </w:p>
    <w:p w14:paraId="38C9C631">
      <w:pPr>
        <w:pStyle w:val="6"/>
        <w:spacing w:before="156" w:beforeLines="50" w:beforeAutospacing="0" w:after="0" w:afterAutospacing="0" w:line="360" w:lineRule="auto"/>
        <w:ind w:firstLine="480" w:firstLineChars="200"/>
        <w:jc w:val="right"/>
        <w:rPr>
          <w:rFonts w:ascii="Times New Roman" w:hAnsi="Times New Roman" w:cs="Times New Roman"/>
          <w:bCs/>
          <w:kern w:val="2"/>
          <w:szCs w:val="21"/>
        </w:rPr>
      </w:pPr>
      <w:r>
        <w:rPr>
          <w:rFonts w:hint="eastAsia" w:ascii="Times New Roman" w:hAnsi="Times New Roman" w:cs="Times New Roman"/>
          <w:bCs/>
          <w:kern w:val="2"/>
          <w:szCs w:val="21"/>
        </w:rPr>
        <w:t>单位：元</w:t>
      </w:r>
    </w:p>
    <w:tbl>
      <w:tblPr>
        <w:tblStyle w:val="7"/>
        <w:tblW w:w="837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2"/>
        <w:gridCol w:w="3055"/>
        <w:gridCol w:w="3101"/>
      </w:tblGrid>
      <w:tr w14:paraId="40E71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shd w:val="clear" w:color="auto" w:fill="BEBEBE"/>
          </w:tcPr>
          <w:p w14:paraId="2FC50C89">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科目</w:t>
            </w:r>
          </w:p>
        </w:tc>
        <w:tc>
          <w:tcPr>
            <w:tcW w:w="3055" w:type="dxa"/>
            <w:shd w:val="clear" w:color="auto" w:fill="BEBEBE"/>
          </w:tcPr>
          <w:p w14:paraId="357EA93B">
            <w:pPr>
              <w:widowControl/>
              <w:jc w:val="center"/>
              <w:textAlignment w:val="top"/>
              <w:rPr>
                <w:b/>
                <w:bCs/>
                <w:color w:val="000000"/>
                <w:szCs w:val="21"/>
              </w:rPr>
            </w:pPr>
            <w:r>
              <w:rPr>
                <w:b/>
                <w:bCs/>
                <w:color w:val="000000"/>
                <w:kern w:val="0"/>
                <w:szCs w:val="21"/>
                <w:lang w:bidi="ar"/>
              </w:rPr>
              <w:t>202</w:t>
            </w:r>
            <w:r>
              <w:rPr>
                <w:rFonts w:hint="eastAsia"/>
                <w:b/>
                <w:bCs/>
                <w:color w:val="000000"/>
                <w:kern w:val="0"/>
                <w:szCs w:val="21"/>
                <w:lang w:bidi="ar"/>
              </w:rPr>
              <w:t>4</w:t>
            </w:r>
            <w:r>
              <w:rPr>
                <w:b/>
                <w:bCs/>
                <w:color w:val="000000"/>
                <w:kern w:val="0"/>
                <w:szCs w:val="21"/>
                <w:lang w:bidi="ar"/>
              </w:rPr>
              <w:t>年</w:t>
            </w:r>
            <w:r>
              <w:rPr>
                <w:rFonts w:hint="eastAsia"/>
                <w:b/>
                <w:bCs/>
                <w:color w:val="000000"/>
                <w:kern w:val="0"/>
                <w:szCs w:val="21"/>
                <w:lang w:bidi="ar"/>
              </w:rPr>
              <w:t>9</w:t>
            </w:r>
            <w:r>
              <w:rPr>
                <w:b/>
                <w:bCs/>
                <w:color w:val="000000"/>
                <w:kern w:val="0"/>
                <w:szCs w:val="21"/>
                <w:lang w:bidi="ar"/>
              </w:rPr>
              <w:t>月3</w:t>
            </w:r>
            <w:r>
              <w:rPr>
                <w:rFonts w:hint="eastAsia"/>
                <w:b/>
                <w:bCs/>
                <w:color w:val="000000"/>
                <w:kern w:val="0"/>
                <w:szCs w:val="21"/>
                <w:lang w:bidi="ar"/>
              </w:rPr>
              <w:t>0</w:t>
            </w:r>
            <w:r>
              <w:rPr>
                <w:b/>
                <w:bCs/>
                <w:color w:val="000000"/>
                <w:kern w:val="0"/>
                <w:szCs w:val="21"/>
                <w:lang w:bidi="ar"/>
              </w:rPr>
              <w:t>日</w:t>
            </w:r>
          </w:p>
        </w:tc>
        <w:tc>
          <w:tcPr>
            <w:tcW w:w="3101" w:type="dxa"/>
            <w:shd w:val="clear" w:color="auto" w:fill="BEBEBE"/>
          </w:tcPr>
          <w:p w14:paraId="572EFE85">
            <w:pPr>
              <w:widowControl/>
              <w:jc w:val="center"/>
              <w:textAlignment w:val="top"/>
              <w:rPr>
                <w:b/>
                <w:bCs/>
                <w:color w:val="000000"/>
                <w:szCs w:val="21"/>
              </w:rPr>
            </w:pPr>
            <w:r>
              <w:rPr>
                <w:b/>
                <w:bCs/>
                <w:color w:val="000000"/>
                <w:kern w:val="0"/>
                <w:szCs w:val="21"/>
                <w:lang w:bidi="ar"/>
              </w:rPr>
              <w:t>202</w:t>
            </w:r>
            <w:r>
              <w:rPr>
                <w:rFonts w:hint="eastAsia"/>
                <w:b/>
                <w:bCs/>
                <w:color w:val="000000"/>
                <w:kern w:val="0"/>
                <w:szCs w:val="21"/>
                <w:lang w:bidi="ar"/>
              </w:rPr>
              <w:t>3</w:t>
            </w:r>
            <w:r>
              <w:rPr>
                <w:b/>
                <w:bCs/>
                <w:color w:val="000000"/>
                <w:kern w:val="0"/>
                <w:szCs w:val="21"/>
                <w:lang w:bidi="ar"/>
              </w:rPr>
              <w:t>年12月31日</w:t>
            </w:r>
          </w:p>
        </w:tc>
      </w:tr>
      <w:tr w14:paraId="6B450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tcPr>
          <w:p w14:paraId="7C47987E">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资产总额</w:t>
            </w:r>
          </w:p>
        </w:tc>
        <w:tc>
          <w:tcPr>
            <w:tcW w:w="3055" w:type="dxa"/>
          </w:tcPr>
          <w:p w14:paraId="61B20AB0">
            <w:pPr>
              <w:widowControl/>
              <w:jc w:val="right"/>
              <w:textAlignment w:val="top"/>
              <w:rPr>
                <w:color w:val="000000"/>
                <w:szCs w:val="21"/>
              </w:rPr>
            </w:pPr>
            <w:r>
              <w:rPr>
                <w:color w:val="000000"/>
                <w:kern w:val="0"/>
                <w:szCs w:val="21"/>
                <w:lang w:bidi="ar"/>
              </w:rPr>
              <w:t>1,514,126,207.11</w:t>
            </w:r>
          </w:p>
        </w:tc>
        <w:tc>
          <w:tcPr>
            <w:tcW w:w="3101" w:type="dxa"/>
          </w:tcPr>
          <w:p w14:paraId="0650F7F4">
            <w:pPr>
              <w:widowControl/>
              <w:jc w:val="right"/>
              <w:textAlignment w:val="top"/>
              <w:rPr>
                <w:color w:val="000000"/>
                <w:szCs w:val="21"/>
              </w:rPr>
            </w:pPr>
            <w:r>
              <w:rPr>
                <w:color w:val="000000"/>
                <w:kern w:val="0"/>
                <w:szCs w:val="21"/>
                <w:lang w:bidi="ar"/>
              </w:rPr>
              <w:t>1,614,481,833.09</w:t>
            </w:r>
          </w:p>
        </w:tc>
      </w:tr>
      <w:tr w14:paraId="4458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tcPr>
          <w:p w14:paraId="51778E02">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负债总额</w:t>
            </w:r>
          </w:p>
        </w:tc>
        <w:tc>
          <w:tcPr>
            <w:tcW w:w="3055" w:type="dxa"/>
          </w:tcPr>
          <w:p w14:paraId="728FCACD">
            <w:pPr>
              <w:widowControl/>
              <w:jc w:val="right"/>
              <w:textAlignment w:val="top"/>
              <w:rPr>
                <w:color w:val="000000"/>
                <w:szCs w:val="21"/>
              </w:rPr>
            </w:pPr>
            <w:r>
              <w:rPr>
                <w:color w:val="000000"/>
                <w:kern w:val="0"/>
                <w:szCs w:val="21"/>
                <w:lang w:bidi="ar"/>
              </w:rPr>
              <w:t>1,018,638,625.62</w:t>
            </w:r>
          </w:p>
        </w:tc>
        <w:tc>
          <w:tcPr>
            <w:tcW w:w="3101" w:type="dxa"/>
          </w:tcPr>
          <w:p w14:paraId="1163FFC7">
            <w:pPr>
              <w:widowControl/>
              <w:jc w:val="right"/>
              <w:textAlignment w:val="top"/>
              <w:rPr>
                <w:color w:val="000000"/>
                <w:szCs w:val="21"/>
              </w:rPr>
            </w:pPr>
            <w:r>
              <w:rPr>
                <w:color w:val="000000"/>
                <w:kern w:val="0"/>
                <w:szCs w:val="21"/>
                <w:lang w:bidi="ar"/>
              </w:rPr>
              <w:t>1,045,236,873.62</w:t>
            </w:r>
          </w:p>
        </w:tc>
      </w:tr>
      <w:tr w14:paraId="01CDD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tcPr>
          <w:p w14:paraId="0873B8F6">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净资产</w:t>
            </w:r>
          </w:p>
        </w:tc>
        <w:tc>
          <w:tcPr>
            <w:tcW w:w="3055" w:type="dxa"/>
          </w:tcPr>
          <w:p w14:paraId="5A8B702F">
            <w:pPr>
              <w:widowControl/>
              <w:jc w:val="right"/>
              <w:textAlignment w:val="top"/>
              <w:rPr>
                <w:color w:val="000000"/>
                <w:szCs w:val="21"/>
              </w:rPr>
            </w:pPr>
            <w:r>
              <w:rPr>
                <w:color w:val="000000"/>
                <w:kern w:val="0"/>
                <w:szCs w:val="21"/>
                <w:lang w:bidi="ar"/>
              </w:rPr>
              <w:t>445,843,242.15</w:t>
            </w:r>
          </w:p>
        </w:tc>
        <w:tc>
          <w:tcPr>
            <w:tcW w:w="3101" w:type="dxa"/>
          </w:tcPr>
          <w:p w14:paraId="325BAB78">
            <w:pPr>
              <w:widowControl/>
              <w:jc w:val="right"/>
              <w:textAlignment w:val="top"/>
              <w:rPr>
                <w:color w:val="000000"/>
                <w:szCs w:val="21"/>
              </w:rPr>
            </w:pPr>
            <w:r>
              <w:rPr>
                <w:color w:val="000000"/>
                <w:kern w:val="0"/>
                <w:szCs w:val="21"/>
                <w:lang w:bidi="ar"/>
              </w:rPr>
              <w:t>516,483,180.46</w:t>
            </w:r>
          </w:p>
        </w:tc>
      </w:tr>
      <w:tr w14:paraId="5AF3F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shd w:val="clear" w:color="auto" w:fill="BEBEBE"/>
          </w:tcPr>
          <w:p w14:paraId="4B2E7DE5">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科目</w:t>
            </w:r>
          </w:p>
        </w:tc>
        <w:tc>
          <w:tcPr>
            <w:tcW w:w="3055" w:type="dxa"/>
            <w:shd w:val="clear" w:color="auto" w:fill="BEBEBE"/>
          </w:tcPr>
          <w:p w14:paraId="51A08499">
            <w:pPr>
              <w:widowControl/>
              <w:jc w:val="center"/>
              <w:textAlignment w:val="top"/>
              <w:rPr>
                <w:b/>
                <w:bCs/>
                <w:color w:val="000000"/>
                <w:szCs w:val="21"/>
              </w:rPr>
            </w:pPr>
            <w:r>
              <w:rPr>
                <w:b/>
                <w:bCs/>
                <w:color w:val="000000"/>
                <w:kern w:val="0"/>
                <w:szCs w:val="21"/>
                <w:lang w:bidi="ar"/>
              </w:rPr>
              <w:t>202</w:t>
            </w:r>
            <w:r>
              <w:rPr>
                <w:rFonts w:hint="eastAsia"/>
                <w:b/>
                <w:bCs/>
                <w:color w:val="000000"/>
                <w:kern w:val="0"/>
                <w:szCs w:val="21"/>
                <w:lang w:bidi="ar"/>
              </w:rPr>
              <w:t>4</w:t>
            </w:r>
            <w:r>
              <w:rPr>
                <w:rStyle w:val="19"/>
                <w:rFonts w:hint="default"/>
                <w:lang w:bidi="ar"/>
              </w:rPr>
              <w:t>年</w:t>
            </w:r>
            <w:r>
              <w:rPr>
                <w:rStyle w:val="20"/>
                <w:lang w:bidi="ar"/>
              </w:rPr>
              <w:t>1-</w:t>
            </w:r>
            <w:r>
              <w:rPr>
                <w:rStyle w:val="20"/>
                <w:rFonts w:hint="eastAsia"/>
                <w:lang w:bidi="ar"/>
              </w:rPr>
              <w:t>9</w:t>
            </w:r>
            <w:r>
              <w:rPr>
                <w:rStyle w:val="19"/>
                <w:rFonts w:hint="default"/>
                <w:lang w:bidi="ar"/>
              </w:rPr>
              <w:t>月</w:t>
            </w:r>
          </w:p>
        </w:tc>
        <w:tc>
          <w:tcPr>
            <w:tcW w:w="3101" w:type="dxa"/>
            <w:shd w:val="clear" w:color="auto" w:fill="BEBEBE"/>
          </w:tcPr>
          <w:p w14:paraId="160BBA3A">
            <w:pPr>
              <w:widowControl/>
              <w:jc w:val="center"/>
              <w:textAlignment w:val="top"/>
              <w:rPr>
                <w:b/>
                <w:bCs/>
                <w:color w:val="000000"/>
                <w:szCs w:val="21"/>
              </w:rPr>
            </w:pPr>
            <w:r>
              <w:rPr>
                <w:b/>
                <w:bCs/>
                <w:color w:val="000000"/>
                <w:kern w:val="0"/>
                <w:szCs w:val="21"/>
                <w:lang w:bidi="ar"/>
              </w:rPr>
              <w:t>202</w:t>
            </w:r>
            <w:r>
              <w:rPr>
                <w:rFonts w:hint="eastAsia"/>
                <w:b/>
                <w:bCs/>
                <w:color w:val="000000"/>
                <w:kern w:val="0"/>
                <w:szCs w:val="21"/>
                <w:lang w:bidi="ar"/>
              </w:rPr>
              <w:t>3</w:t>
            </w:r>
            <w:r>
              <w:rPr>
                <w:rStyle w:val="19"/>
                <w:rFonts w:hint="default"/>
                <w:lang w:bidi="ar"/>
              </w:rPr>
              <w:t>年度</w:t>
            </w:r>
          </w:p>
        </w:tc>
      </w:tr>
      <w:tr w14:paraId="2CDF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tcPr>
          <w:p w14:paraId="5B96D26B">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营业收入</w:t>
            </w:r>
          </w:p>
        </w:tc>
        <w:tc>
          <w:tcPr>
            <w:tcW w:w="3055" w:type="dxa"/>
          </w:tcPr>
          <w:p w14:paraId="44134177">
            <w:pPr>
              <w:widowControl/>
              <w:jc w:val="right"/>
              <w:textAlignment w:val="top"/>
              <w:rPr>
                <w:color w:val="000000"/>
                <w:szCs w:val="21"/>
              </w:rPr>
            </w:pPr>
            <w:r>
              <w:rPr>
                <w:color w:val="000000"/>
                <w:kern w:val="0"/>
                <w:szCs w:val="21"/>
                <w:lang w:bidi="ar"/>
              </w:rPr>
              <w:t>326,316,366.25</w:t>
            </w:r>
          </w:p>
        </w:tc>
        <w:tc>
          <w:tcPr>
            <w:tcW w:w="3101" w:type="dxa"/>
          </w:tcPr>
          <w:p w14:paraId="31C34FF8">
            <w:pPr>
              <w:widowControl/>
              <w:jc w:val="right"/>
              <w:textAlignment w:val="top"/>
              <w:rPr>
                <w:color w:val="000000"/>
                <w:szCs w:val="21"/>
              </w:rPr>
            </w:pPr>
            <w:r>
              <w:rPr>
                <w:color w:val="000000"/>
                <w:kern w:val="0"/>
                <w:szCs w:val="21"/>
                <w:lang w:bidi="ar"/>
              </w:rPr>
              <w:t>422,714,889.10</w:t>
            </w:r>
          </w:p>
        </w:tc>
      </w:tr>
      <w:tr w14:paraId="0C90B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22" w:type="dxa"/>
          </w:tcPr>
          <w:p w14:paraId="13451E0A">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利润总额</w:t>
            </w:r>
          </w:p>
        </w:tc>
        <w:tc>
          <w:tcPr>
            <w:tcW w:w="3055" w:type="dxa"/>
          </w:tcPr>
          <w:p w14:paraId="5D9E18E2">
            <w:pPr>
              <w:widowControl/>
              <w:jc w:val="right"/>
              <w:textAlignment w:val="top"/>
              <w:rPr>
                <w:color w:val="000000"/>
                <w:szCs w:val="21"/>
              </w:rPr>
            </w:pPr>
            <w:r>
              <w:rPr>
                <w:color w:val="000000"/>
                <w:kern w:val="0"/>
                <w:szCs w:val="21"/>
                <w:lang w:bidi="ar"/>
              </w:rPr>
              <w:t>-69,790,050.86</w:t>
            </w:r>
          </w:p>
        </w:tc>
        <w:tc>
          <w:tcPr>
            <w:tcW w:w="3101" w:type="dxa"/>
          </w:tcPr>
          <w:p w14:paraId="152D793C">
            <w:pPr>
              <w:widowControl/>
              <w:jc w:val="right"/>
              <w:textAlignment w:val="top"/>
              <w:rPr>
                <w:color w:val="000000"/>
                <w:szCs w:val="21"/>
              </w:rPr>
            </w:pPr>
            <w:r>
              <w:rPr>
                <w:color w:val="000000"/>
                <w:kern w:val="0"/>
                <w:szCs w:val="21"/>
                <w:lang w:bidi="ar"/>
              </w:rPr>
              <w:t>-298,029,054.90</w:t>
            </w:r>
          </w:p>
        </w:tc>
      </w:tr>
      <w:tr w14:paraId="2EF7F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22" w:type="dxa"/>
          </w:tcPr>
          <w:p w14:paraId="2610A88A">
            <w:pPr>
              <w:widowControl/>
              <w:jc w:val="center"/>
              <w:textAlignment w:val="top"/>
              <w:rPr>
                <w:rFonts w:ascii="宋体" w:hAnsi="宋体" w:cs="宋体"/>
                <w:b/>
                <w:bCs/>
                <w:color w:val="000000"/>
                <w:szCs w:val="21"/>
              </w:rPr>
            </w:pPr>
            <w:r>
              <w:rPr>
                <w:rFonts w:hint="eastAsia" w:ascii="宋体" w:hAnsi="宋体" w:cs="宋体"/>
                <w:b/>
                <w:bCs/>
                <w:color w:val="000000"/>
                <w:kern w:val="0"/>
                <w:szCs w:val="21"/>
                <w:lang w:bidi="ar"/>
              </w:rPr>
              <w:t>归母净利润</w:t>
            </w:r>
          </w:p>
        </w:tc>
        <w:tc>
          <w:tcPr>
            <w:tcW w:w="3055" w:type="dxa"/>
          </w:tcPr>
          <w:p w14:paraId="681E8C73">
            <w:pPr>
              <w:widowControl/>
              <w:jc w:val="right"/>
              <w:textAlignment w:val="top"/>
              <w:rPr>
                <w:color w:val="000000"/>
                <w:szCs w:val="21"/>
              </w:rPr>
            </w:pPr>
            <w:r>
              <w:rPr>
                <w:color w:val="000000"/>
                <w:kern w:val="0"/>
                <w:szCs w:val="21"/>
                <w:lang w:bidi="ar"/>
              </w:rPr>
              <w:t>-70,639,938.31</w:t>
            </w:r>
          </w:p>
        </w:tc>
        <w:tc>
          <w:tcPr>
            <w:tcW w:w="3101" w:type="dxa"/>
          </w:tcPr>
          <w:p w14:paraId="76FEFB34">
            <w:pPr>
              <w:widowControl/>
              <w:jc w:val="right"/>
              <w:textAlignment w:val="top"/>
              <w:rPr>
                <w:color w:val="000000"/>
                <w:szCs w:val="21"/>
              </w:rPr>
            </w:pPr>
            <w:r>
              <w:rPr>
                <w:color w:val="000000"/>
                <w:kern w:val="0"/>
                <w:szCs w:val="21"/>
                <w:lang w:bidi="ar"/>
              </w:rPr>
              <w:t>-348,589,843.18</w:t>
            </w:r>
          </w:p>
        </w:tc>
      </w:tr>
    </w:tbl>
    <w:p w14:paraId="7A78DA14">
      <w:pPr>
        <w:pStyle w:val="6"/>
        <w:spacing w:before="0" w:beforeAutospacing="0" w:after="0" w:afterAutospacing="0"/>
        <w:ind w:firstLine="420" w:firstLineChars="200"/>
        <w:rPr>
          <w:rFonts w:ascii="Times New Roman" w:hAnsi="Times New Roman" w:cs="Times New Roman"/>
          <w:bCs/>
          <w:kern w:val="2"/>
          <w:sz w:val="21"/>
          <w:szCs w:val="21"/>
        </w:rPr>
      </w:pPr>
      <w:r>
        <w:rPr>
          <w:rFonts w:hint="eastAsia" w:ascii="Times New Roman" w:hAnsi="Times New Roman" w:cs="Times New Roman"/>
          <w:bCs/>
          <w:kern w:val="2"/>
          <w:sz w:val="21"/>
          <w:szCs w:val="21"/>
        </w:rPr>
        <w:t>注：（1）2023年度数据经大华会计师事务所(特殊普通合伙)审计；2024年1-9月数据未经审计。（2）净资产为归属于公司普通股股东的期末净资产，不包括少数股东权益金额。</w:t>
      </w:r>
    </w:p>
    <w:p w14:paraId="09533D63">
      <w:pPr>
        <w:pStyle w:val="6"/>
        <w:numPr>
          <w:ilvl w:val="0"/>
          <w:numId w:val="2"/>
        </w:numPr>
        <w:spacing w:before="156" w:beforeLines="50" w:beforeAutospacing="0" w:after="0" w:afterAutospacing="0" w:line="360" w:lineRule="auto"/>
        <w:ind w:firstLine="480" w:firstLineChars="200"/>
        <w:rPr>
          <w:rFonts w:ascii="Times New Roman" w:hAnsi="Times New Roman" w:cs="Times New Roman"/>
          <w:bCs/>
          <w:kern w:val="2"/>
          <w:szCs w:val="21"/>
        </w:rPr>
      </w:pPr>
      <w:r>
        <w:rPr>
          <w:rFonts w:hint="eastAsia" w:ascii="Times New Roman" w:hAnsi="Times New Roman" w:cs="Times New Roman"/>
          <w:bCs/>
          <w:kern w:val="2"/>
          <w:szCs w:val="21"/>
        </w:rPr>
        <w:t>经查询，公司不属于失信被执行人。</w:t>
      </w:r>
    </w:p>
    <w:p w14:paraId="5966A5DA">
      <w:pPr>
        <w:pStyle w:val="6"/>
        <w:spacing w:before="156" w:beforeLines="50" w:beforeAutospacing="0" w:after="156" w:afterLines="50" w:afterAutospacing="0" w:line="360" w:lineRule="auto"/>
        <w:ind w:firstLine="482" w:firstLineChars="200"/>
        <w:rPr>
          <w:rFonts w:ascii="Times New Roman" w:hAnsi="Times New Roman" w:cs="Times New Roman"/>
          <w:b/>
          <w:kern w:val="2"/>
          <w:szCs w:val="21"/>
        </w:rPr>
      </w:pPr>
      <w:r>
        <w:rPr>
          <w:rFonts w:hint="eastAsia" w:ascii="Times New Roman" w:hAnsi="Times New Roman" w:cs="Times New Roman"/>
          <w:b/>
          <w:kern w:val="2"/>
          <w:szCs w:val="21"/>
        </w:rPr>
        <w:t>三、担保协议的主要内容</w:t>
      </w:r>
    </w:p>
    <w:p w14:paraId="51F58073">
      <w:pPr>
        <w:spacing w:line="360" w:lineRule="auto"/>
        <w:ind w:firstLine="480" w:firstLineChars="200"/>
        <w:rPr>
          <w:sz w:val="24"/>
          <w:szCs w:val="24"/>
        </w:rPr>
      </w:pPr>
      <w:r>
        <w:rPr>
          <w:rFonts w:hint="eastAsia"/>
          <w:sz w:val="24"/>
          <w:szCs w:val="24"/>
        </w:rPr>
        <w:t>1、债权人：上海浦东发展银行股份有限公司福州分行</w:t>
      </w:r>
    </w:p>
    <w:p w14:paraId="524D96F7">
      <w:pPr>
        <w:spacing w:line="360" w:lineRule="auto"/>
        <w:ind w:firstLine="480" w:firstLineChars="200"/>
        <w:rPr>
          <w:sz w:val="24"/>
          <w:szCs w:val="24"/>
        </w:rPr>
      </w:pPr>
      <w:r>
        <w:rPr>
          <w:rFonts w:hint="eastAsia"/>
          <w:sz w:val="24"/>
          <w:szCs w:val="24"/>
        </w:rPr>
        <w:t>2、债务人：福建广生堂药业股份有限公司</w:t>
      </w:r>
    </w:p>
    <w:p w14:paraId="05A55DBF">
      <w:pPr>
        <w:spacing w:line="360" w:lineRule="auto"/>
        <w:ind w:firstLine="480" w:firstLineChars="200"/>
        <w:rPr>
          <w:sz w:val="24"/>
          <w:szCs w:val="24"/>
        </w:rPr>
      </w:pPr>
      <w:r>
        <w:rPr>
          <w:rFonts w:hint="eastAsia"/>
          <w:sz w:val="24"/>
          <w:szCs w:val="24"/>
        </w:rPr>
        <w:t>3、保证人：福建广生中霖生物科技有限公司</w:t>
      </w:r>
    </w:p>
    <w:p w14:paraId="340A1DF6">
      <w:pPr>
        <w:spacing w:line="360" w:lineRule="auto"/>
        <w:ind w:firstLine="480" w:firstLineChars="200"/>
        <w:rPr>
          <w:sz w:val="24"/>
          <w:szCs w:val="24"/>
        </w:rPr>
      </w:pPr>
      <w:r>
        <w:rPr>
          <w:rFonts w:hint="eastAsia"/>
          <w:sz w:val="24"/>
          <w:szCs w:val="24"/>
        </w:rPr>
        <w:t>4、保证方式：连带责任保证</w:t>
      </w:r>
    </w:p>
    <w:p w14:paraId="032C3B57">
      <w:pPr>
        <w:spacing w:line="360" w:lineRule="auto"/>
        <w:ind w:firstLine="480" w:firstLineChars="200"/>
        <w:rPr>
          <w:sz w:val="24"/>
          <w:szCs w:val="24"/>
        </w:rPr>
      </w:pPr>
      <w:r>
        <w:rPr>
          <w:rFonts w:hint="eastAsia"/>
          <w:sz w:val="24"/>
          <w:szCs w:val="24"/>
        </w:rPr>
        <w:t>5、保证期间：自每笔债权合同债务履行期届满之日起至该债权合同约定的债务履行期届满之日后三年止。债权人与债务人就主债务履行期达成展期协议的，保证期间至展期协议重新约定的债务履行期届满之日后三年止。</w:t>
      </w:r>
    </w:p>
    <w:p w14:paraId="52ED2B55">
      <w:pPr>
        <w:spacing w:line="360" w:lineRule="auto"/>
        <w:ind w:firstLine="480" w:firstLineChars="200"/>
        <w:rPr>
          <w:sz w:val="24"/>
          <w:szCs w:val="24"/>
        </w:rPr>
      </w:pPr>
      <w:r>
        <w:rPr>
          <w:rFonts w:hint="eastAsia"/>
          <w:sz w:val="24"/>
          <w:szCs w:val="24"/>
        </w:rPr>
        <w:t>6、保证金额：主债权本金最高余额贰仟万元，及合同保证范围所约定的主债权所产生的利息、违约金、损害赔偿金、手续费及其他相关费用等。</w:t>
      </w:r>
    </w:p>
    <w:p w14:paraId="6FA43498">
      <w:pPr>
        <w:spacing w:line="360" w:lineRule="auto"/>
        <w:ind w:firstLine="480" w:firstLineChars="200"/>
        <w:rPr>
          <w:sz w:val="24"/>
          <w:szCs w:val="24"/>
        </w:rPr>
      </w:pPr>
      <w:r>
        <w:rPr>
          <w:rFonts w:hint="eastAsia"/>
          <w:sz w:val="24"/>
          <w:szCs w:val="24"/>
        </w:rPr>
        <w:t>7、担保范围：主债权本金，及其利息、违约金、损害赔偿金、手续费及其他相关费用等。</w:t>
      </w:r>
    </w:p>
    <w:p w14:paraId="09829E76">
      <w:pPr>
        <w:spacing w:line="360" w:lineRule="auto"/>
        <w:ind w:firstLine="480" w:firstLineChars="200"/>
        <w:rPr>
          <w:sz w:val="24"/>
          <w:szCs w:val="24"/>
        </w:rPr>
      </w:pPr>
      <w:r>
        <w:rPr>
          <w:rFonts w:hint="eastAsia"/>
          <w:sz w:val="24"/>
          <w:szCs w:val="24"/>
        </w:rPr>
        <w:t>8、本合同经保证人、债权人法定代表人或授权代表签章并加盖公章后生效。</w:t>
      </w:r>
    </w:p>
    <w:p w14:paraId="7305D66D">
      <w:pPr>
        <w:spacing w:before="156" w:beforeLines="50" w:after="156" w:afterLines="50" w:line="360" w:lineRule="auto"/>
        <w:ind w:firstLine="482" w:firstLineChars="200"/>
        <w:rPr>
          <w:sz w:val="24"/>
          <w:szCs w:val="24"/>
        </w:rPr>
      </w:pPr>
      <w:r>
        <w:rPr>
          <w:rFonts w:hint="eastAsia"/>
          <w:b/>
          <w:bCs/>
          <w:sz w:val="24"/>
          <w:szCs w:val="24"/>
        </w:rPr>
        <w:t>四、本次子公司为公司提供担保对公司的影响</w:t>
      </w:r>
      <w:r>
        <w:rPr>
          <w:rFonts w:hint="eastAsia"/>
          <w:sz w:val="24"/>
          <w:szCs w:val="24"/>
        </w:rPr>
        <w:t xml:space="preserve"> </w:t>
      </w:r>
    </w:p>
    <w:p w14:paraId="42001154">
      <w:pPr>
        <w:spacing w:line="360" w:lineRule="auto"/>
        <w:ind w:firstLine="480" w:firstLineChars="200"/>
        <w:rPr>
          <w:sz w:val="24"/>
          <w:szCs w:val="24"/>
        </w:rPr>
      </w:pPr>
      <w:r>
        <w:rPr>
          <w:rFonts w:hint="eastAsia"/>
          <w:sz w:val="24"/>
          <w:szCs w:val="24"/>
        </w:rPr>
        <w:t>子公司为公司提供担保风险可控，有利于保证公司正常的运营资金需求，满足公司经营发展需要，符合公司整体利益。本次担保事项已履行相应的内部审批，程序符合相关规定，决策程序合法、有效，不存在损害公司和全体股东特别是中小股东利益的情形。</w:t>
      </w:r>
    </w:p>
    <w:p w14:paraId="17A59591">
      <w:pPr>
        <w:spacing w:before="156" w:beforeLines="50" w:after="156" w:afterLines="50" w:line="360" w:lineRule="auto"/>
        <w:ind w:firstLine="482" w:firstLineChars="200"/>
        <w:rPr>
          <w:sz w:val="24"/>
          <w:szCs w:val="24"/>
        </w:rPr>
      </w:pPr>
      <w:r>
        <w:rPr>
          <w:rFonts w:hint="eastAsia"/>
          <w:b/>
          <w:bCs/>
          <w:sz w:val="24"/>
          <w:szCs w:val="24"/>
        </w:rPr>
        <w:t>五、累计对外担保数量及逾期担保的数量</w:t>
      </w:r>
      <w:r>
        <w:rPr>
          <w:rFonts w:hint="eastAsia"/>
          <w:sz w:val="24"/>
          <w:szCs w:val="24"/>
        </w:rPr>
        <w:t xml:space="preserve"> </w:t>
      </w:r>
    </w:p>
    <w:p w14:paraId="46678B2E">
      <w:pPr>
        <w:spacing w:line="360" w:lineRule="auto"/>
        <w:ind w:firstLine="480" w:firstLineChars="200"/>
        <w:rPr>
          <w:sz w:val="24"/>
          <w:szCs w:val="24"/>
        </w:rPr>
      </w:pPr>
      <w:r>
        <w:rPr>
          <w:rFonts w:hint="eastAsia"/>
          <w:sz w:val="24"/>
          <w:szCs w:val="24"/>
        </w:rPr>
        <w:t>本次提供担保后，上市公司及其子公司的担保额度总金额6亿元，上市公司及其子公司实际担保总余额为2,000万元，占公司最近一期经审计净资产的3.87%。上市公司及其子公司不存在对合并报表外单位提供担保的情形，也不存在逾期担保、涉及诉讼的担保及因担保被判决败诉而应承担损失等情形。</w:t>
      </w:r>
    </w:p>
    <w:p w14:paraId="0D5343B3">
      <w:pPr>
        <w:pStyle w:val="6"/>
        <w:spacing w:before="156" w:beforeLines="50" w:beforeAutospacing="0" w:after="156" w:afterLines="50" w:afterAutospacing="0" w:line="360" w:lineRule="auto"/>
        <w:ind w:firstLine="482" w:firstLineChars="200"/>
        <w:rPr>
          <w:rFonts w:ascii="Times New Roman" w:hAnsi="Times New Roman" w:cs="Times New Roman"/>
          <w:b/>
          <w:kern w:val="2"/>
          <w:szCs w:val="21"/>
        </w:rPr>
      </w:pPr>
      <w:r>
        <w:rPr>
          <w:rFonts w:hint="eastAsia" w:ascii="Times New Roman" w:hAnsi="Times New Roman" w:cs="Times New Roman"/>
          <w:b/>
          <w:kern w:val="2"/>
          <w:szCs w:val="21"/>
        </w:rPr>
        <w:t>六、备查文件</w:t>
      </w:r>
    </w:p>
    <w:p w14:paraId="4E58D14A">
      <w:pPr>
        <w:spacing w:line="360" w:lineRule="auto"/>
        <w:ind w:firstLine="480" w:firstLineChars="200"/>
        <w:rPr>
          <w:sz w:val="24"/>
          <w:szCs w:val="24"/>
        </w:rPr>
      </w:pPr>
      <w:r>
        <w:rPr>
          <w:rFonts w:hint="eastAsia"/>
          <w:sz w:val="24"/>
          <w:szCs w:val="24"/>
        </w:rPr>
        <w:t>1、广生中霖股东会决议；</w:t>
      </w:r>
    </w:p>
    <w:p w14:paraId="4061E49E">
      <w:pPr>
        <w:spacing w:line="360" w:lineRule="auto"/>
        <w:ind w:firstLine="480" w:firstLineChars="200"/>
        <w:rPr>
          <w:sz w:val="24"/>
          <w:szCs w:val="24"/>
        </w:rPr>
      </w:pPr>
      <w:r>
        <w:rPr>
          <w:rFonts w:hint="eastAsia"/>
          <w:sz w:val="24"/>
          <w:szCs w:val="24"/>
        </w:rPr>
        <w:t>2、广生中霖与上海浦东发展银行股份有限公司福州分行签订的《最高额保证合同》。</w:t>
      </w:r>
    </w:p>
    <w:p w14:paraId="068C47FC">
      <w:pPr>
        <w:widowControl/>
        <w:spacing w:line="360" w:lineRule="auto"/>
        <w:ind w:firstLine="480" w:firstLineChars="200"/>
        <w:jc w:val="left"/>
        <w:rPr>
          <w:sz w:val="24"/>
          <w:szCs w:val="24"/>
        </w:rPr>
      </w:pPr>
      <w:r>
        <w:rPr>
          <w:rFonts w:hint="eastAsia"/>
          <w:sz w:val="24"/>
          <w:szCs w:val="24"/>
        </w:rPr>
        <w:t xml:space="preserve">特此公告。 </w:t>
      </w:r>
    </w:p>
    <w:p w14:paraId="2836EADF">
      <w:pPr>
        <w:widowControl/>
        <w:spacing w:line="360" w:lineRule="auto"/>
        <w:jc w:val="left"/>
        <w:rPr>
          <w:sz w:val="24"/>
          <w:szCs w:val="21"/>
        </w:rPr>
      </w:pPr>
    </w:p>
    <w:p w14:paraId="5DDD27AE">
      <w:pPr>
        <w:widowControl/>
        <w:adjustRightInd w:val="0"/>
        <w:snapToGrid w:val="0"/>
        <w:spacing w:line="360" w:lineRule="auto"/>
        <w:ind w:firstLine="480" w:firstLineChars="200"/>
        <w:jc w:val="right"/>
        <w:rPr>
          <w:sz w:val="24"/>
          <w:szCs w:val="21"/>
        </w:rPr>
      </w:pPr>
      <w:r>
        <w:rPr>
          <w:sz w:val="24"/>
          <w:szCs w:val="21"/>
        </w:rPr>
        <w:t>福建广生堂药业股份有限公司董事会</w:t>
      </w:r>
    </w:p>
    <w:p w14:paraId="084820AC">
      <w:pPr>
        <w:widowControl/>
        <w:adjustRightInd w:val="0"/>
        <w:snapToGrid w:val="0"/>
        <w:spacing w:line="360" w:lineRule="auto"/>
        <w:ind w:right="1120" w:firstLine="480" w:firstLineChars="200"/>
        <w:jc w:val="right"/>
        <w:rPr>
          <w:sz w:val="24"/>
          <w:szCs w:val="24"/>
        </w:rPr>
      </w:pPr>
      <w:r>
        <w:rPr>
          <w:rFonts w:hint="eastAsia"/>
          <w:sz w:val="24"/>
          <w:szCs w:val="21"/>
        </w:rPr>
        <w:t xml:space="preserve">    </w:t>
      </w:r>
      <w:r>
        <w:rPr>
          <w:sz w:val="24"/>
          <w:szCs w:val="21"/>
        </w:rPr>
        <w:t>20</w:t>
      </w:r>
      <w:r>
        <w:rPr>
          <w:rFonts w:hint="eastAsia"/>
          <w:sz w:val="24"/>
          <w:szCs w:val="21"/>
        </w:rPr>
        <w:t>25</w:t>
      </w:r>
      <w:r>
        <w:rPr>
          <w:sz w:val="24"/>
          <w:szCs w:val="21"/>
        </w:rPr>
        <w:t>年</w:t>
      </w:r>
      <w:r>
        <w:rPr>
          <w:rFonts w:hint="eastAsia"/>
          <w:sz w:val="24"/>
          <w:szCs w:val="21"/>
        </w:rPr>
        <w:t>4</w:t>
      </w:r>
      <w:r>
        <w:rPr>
          <w:sz w:val="24"/>
          <w:szCs w:val="21"/>
        </w:rPr>
        <w:t>月</w:t>
      </w:r>
      <w:r>
        <w:rPr>
          <w:rFonts w:hint="eastAsia"/>
          <w:sz w:val="24"/>
          <w:szCs w:val="21"/>
        </w:rPr>
        <w:t>2</w:t>
      </w:r>
      <w:r>
        <w:rPr>
          <w:sz w:val="24"/>
          <w:szCs w:val="21"/>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F1638">
    <w:pPr>
      <w:pStyle w:val="3"/>
      <w:jc w:val="center"/>
    </w:pPr>
    <w:r>
      <w:fldChar w:fldCharType="begin"/>
    </w:r>
    <w:r>
      <w:instrText xml:space="preserve">PAGE   \* MERGEFORMAT</w:instrText>
    </w:r>
    <w:r>
      <w:fldChar w:fldCharType="separate"/>
    </w:r>
    <w:r>
      <w:rPr>
        <w:lang w:val="zh-CN"/>
      </w:rPr>
      <w:t>3</w:t>
    </w:r>
    <w:r>
      <w:fldChar w:fldCharType="end"/>
    </w:r>
  </w:p>
  <w:p w14:paraId="0D244AD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3723F">
    <w:pPr>
      <w:pStyle w:val="4"/>
      <w:tabs>
        <w:tab w:val="right" w:pos="9214"/>
        <w:tab w:val="clear" w:pos="8306"/>
      </w:tabs>
      <w:ind w:left="-1277" w:leftChars="-608" w:right="-1331" w:rightChars="-634" w:firstLine="1"/>
    </w:pPr>
    <w:r>
      <w:pict>
        <v:shape id="WordPictureWatermark3069298" o:spid="_x0000_s2050"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0BBB8">
    <w:pPr>
      <w:pStyle w:val="4"/>
    </w:pPr>
    <w:r>
      <w:pict>
        <v:shape id="WordPictureWatermark3069297" o:spid="_x0000_s2049"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09359">
    <w:pPr>
      <w:pStyle w:val="4"/>
    </w:pPr>
    <w:r>
      <w:pict>
        <v:shape id="WordPictureWatermark3069296" o:spid="_x0000_s2051" o:spt="75" type="#_x0000_t75" style="position:absolute;left:0pt;height:841.9pt;width:595.2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4D5DE6"/>
    <w:multiLevelType w:val="singleLevel"/>
    <w:tmpl w:val="BE4D5DE6"/>
    <w:lvl w:ilvl="0" w:tentative="0">
      <w:start w:val="2"/>
      <w:numFmt w:val="chineseCounting"/>
      <w:suff w:val="nothing"/>
      <w:lvlText w:val="%1、"/>
      <w:lvlJc w:val="left"/>
      <w:rPr>
        <w:rFonts w:hint="eastAsia"/>
      </w:rPr>
    </w:lvl>
  </w:abstractNum>
  <w:abstractNum w:abstractNumId="1">
    <w:nsid w:val="6651B6D5"/>
    <w:multiLevelType w:val="singleLevel"/>
    <w:tmpl w:val="6651B6D5"/>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0238B1"/>
    <w:rsid w:val="00023915"/>
    <w:rsid w:val="00082C74"/>
    <w:rsid w:val="000A5744"/>
    <w:rsid w:val="000B5E20"/>
    <w:rsid w:val="000D3F71"/>
    <w:rsid w:val="000D7D93"/>
    <w:rsid w:val="000F51AB"/>
    <w:rsid w:val="001279BE"/>
    <w:rsid w:val="00135721"/>
    <w:rsid w:val="001401A6"/>
    <w:rsid w:val="00172A27"/>
    <w:rsid w:val="00182C39"/>
    <w:rsid w:val="00184A6D"/>
    <w:rsid w:val="001B52B9"/>
    <w:rsid w:val="001B6873"/>
    <w:rsid w:val="001D4E41"/>
    <w:rsid w:val="0021331C"/>
    <w:rsid w:val="00227879"/>
    <w:rsid w:val="002719D6"/>
    <w:rsid w:val="00282847"/>
    <w:rsid w:val="00294039"/>
    <w:rsid w:val="002B6172"/>
    <w:rsid w:val="002C4A95"/>
    <w:rsid w:val="002D5B86"/>
    <w:rsid w:val="0031217C"/>
    <w:rsid w:val="003225AE"/>
    <w:rsid w:val="003375AA"/>
    <w:rsid w:val="00345018"/>
    <w:rsid w:val="003529CF"/>
    <w:rsid w:val="00355EE0"/>
    <w:rsid w:val="003603C4"/>
    <w:rsid w:val="00362E6B"/>
    <w:rsid w:val="003733D7"/>
    <w:rsid w:val="003747A1"/>
    <w:rsid w:val="00376191"/>
    <w:rsid w:val="00380176"/>
    <w:rsid w:val="00396D46"/>
    <w:rsid w:val="003975DD"/>
    <w:rsid w:val="003A1D39"/>
    <w:rsid w:val="003C796A"/>
    <w:rsid w:val="003E7056"/>
    <w:rsid w:val="00450138"/>
    <w:rsid w:val="00451FD8"/>
    <w:rsid w:val="0046149A"/>
    <w:rsid w:val="00462112"/>
    <w:rsid w:val="00475D39"/>
    <w:rsid w:val="00491095"/>
    <w:rsid w:val="004A054B"/>
    <w:rsid w:val="004A741C"/>
    <w:rsid w:val="004C0BF1"/>
    <w:rsid w:val="004C65EB"/>
    <w:rsid w:val="004C7FBE"/>
    <w:rsid w:val="00525B2F"/>
    <w:rsid w:val="00532AA5"/>
    <w:rsid w:val="0054201C"/>
    <w:rsid w:val="00547EA4"/>
    <w:rsid w:val="00555AA7"/>
    <w:rsid w:val="00560820"/>
    <w:rsid w:val="0056625D"/>
    <w:rsid w:val="005A3EF6"/>
    <w:rsid w:val="005A4BE2"/>
    <w:rsid w:val="005B386B"/>
    <w:rsid w:val="005B3B29"/>
    <w:rsid w:val="005B4D90"/>
    <w:rsid w:val="005B7544"/>
    <w:rsid w:val="005C054B"/>
    <w:rsid w:val="005D169D"/>
    <w:rsid w:val="005F37B7"/>
    <w:rsid w:val="005F7843"/>
    <w:rsid w:val="006249BD"/>
    <w:rsid w:val="006804B9"/>
    <w:rsid w:val="00682024"/>
    <w:rsid w:val="006936D7"/>
    <w:rsid w:val="006B3A7A"/>
    <w:rsid w:val="006C180E"/>
    <w:rsid w:val="006C1F68"/>
    <w:rsid w:val="006D1F48"/>
    <w:rsid w:val="006D40B5"/>
    <w:rsid w:val="00701FE4"/>
    <w:rsid w:val="0071592D"/>
    <w:rsid w:val="00721BE4"/>
    <w:rsid w:val="00763FA1"/>
    <w:rsid w:val="007B59DB"/>
    <w:rsid w:val="007B6895"/>
    <w:rsid w:val="007B7F4C"/>
    <w:rsid w:val="007D07FC"/>
    <w:rsid w:val="007E418F"/>
    <w:rsid w:val="00807F81"/>
    <w:rsid w:val="008131BF"/>
    <w:rsid w:val="00860A5E"/>
    <w:rsid w:val="00865B3F"/>
    <w:rsid w:val="00877EEA"/>
    <w:rsid w:val="008842E1"/>
    <w:rsid w:val="008B5523"/>
    <w:rsid w:val="008C71BA"/>
    <w:rsid w:val="008D0704"/>
    <w:rsid w:val="008D4935"/>
    <w:rsid w:val="008D666C"/>
    <w:rsid w:val="008F43BD"/>
    <w:rsid w:val="009539E5"/>
    <w:rsid w:val="00977985"/>
    <w:rsid w:val="009B2526"/>
    <w:rsid w:val="00A3154E"/>
    <w:rsid w:val="00A344A1"/>
    <w:rsid w:val="00A43EB7"/>
    <w:rsid w:val="00A83F2B"/>
    <w:rsid w:val="00AA60FC"/>
    <w:rsid w:val="00AD596E"/>
    <w:rsid w:val="00AD5F46"/>
    <w:rsid w:val="00AF1AA1"/>
    <w:rsid w:val="00B33ADE"/>
    <w:rsid w:val="00B57A7B"/>
    <w:rsid w:val="00B6744D"/>
    <w:rsid w:val="00B80534"/>
    <w:rsid w:val="00BC642C"/>
    <w:rsid w:val="00BE18C6"/>
    <w:rsid w:val="00C0139B"/>
    <w:rsid w:val="00C12DA0"/>
    <w:rsid w:val="00C3475F"/>
    <w:rsid w:val="00C43C22"/>
    <w:rsid w:val="00C47648"/>
    <w:rsid w:val="00CD4982"/>
    <w:rsid w:val="00CE047E"/>
    <w:rsid w:val="00CF1D1E"/>
    <w:rsid w:val="00D001AA"/>
    <w:rsid w:val="00D16A1F"/>
    <w:rsid w:val="00D4626C"/>
    <w:rsid w:val="00D71C1E"/>
    <w:rsid w:val="00D75F5D"/>
    <w:rsid w:val="00D82853"/>
    <w:rsid w:val="00D97404"/>
    <w:rsid w:val="00DF5404"/>
    <w:rsid w:val="00DF7D22"/>
    <w:rsid w:val="00E069A7"/>
    <w:rsid w:val="00E10C10"/>
    <w:rsid w:val="00E204D6"/>
    <w:rsid w:val="00E4634B"/>
    <w:rsid w:val="00E721AA"/>
    <w:rsid w:val="00E81449"/>
    <w:rsid w:val="00E9697B"/>
    <w:rsid w:val="00EF2131"/>
    <w:rsid w:val="00F05D6D"/>
    <w:rsid w:val="00F15651"/>
    <w:rsid w:val="00F30AE2"/>
    <w:rsid w:val="00F34D16"/>
    <w:rsid w:val="00F428BF"/>
    <w:rsid w:val="00F60533"/>
    <w:rsid w:val="00F70D75"/>
    <w:rsid w:val="00FA17AB"/>
    <w:rsid w:val="00FB2099"/>
    <w:rsid w:val="00FC2979"/>
    <w:rsid w:val="00FD33F2"/>
    <w:rsid w:val="00FF30C4"/>
    <w:rsid w:val="040B08C7"/>
    <w:rsid w:val="0A180472"/>
    <w:rsid w:val="0A98231A"/>
    <w:rsid w:val="115A5DAA"/>
    <w:rsid w:val="12224D50"/>
    <w:rsid w:val="12434F9C"/>
    <w:rsid w:val="169973B1"/>
    <w:rsid w:val="18361447"/>
    <w:rsid w:val="189404BF"/>
    <w:rsid w:val="19CA72DF"/>
    <w:rsid w:val="1B2A7D4B"/>
    <w:rsid w:val="1D0A37A0"/>
    <w:rsid w:val="1DA25DD5"/>
    <w:rsid w:val="1EDB6698"/>
    <w:rsid w:val="1F1100CE"/>
    <w:rsid w:val="20882B7C"/>
    <w:rsid w:val="219E39AE"/>
    <w:rsid w:val="24F649B4"/>
    <w:rsid w:val="29503D66"/>
    <w:rsid w:val="2BEA0CF7"/>
    <w:rsid w:val="2C276000"/>
    <w:rsid w:val="2C6E4576"/>
    <w:rsid w:val="2C945813"/>
    <w:rsid w:val="2E7B2FD1"/>
    <w:rsid w:val="304944C6"/>
    <w:rsid w:val="31777136"/>
    <w:rsid w:val="31AC4D3F"/>
    <w:rsid w:val="31D77D3F"/>
    <w:rsid w:val="31EC0BF8"/>
    <w:rsid w:val="32303E7B"/>
    <w:rsid w:val="32E72776"/>
    <w:rsid w:val="342603AE"/>
    <w:rsid w:val="34F05489"/>
    <w:rsid w:val="35127FAF"/>
    <w:rsid w:val="356260A8"/>
    <w:rsid w:val="37822F1F"/>
    <w:rsid w:val="384834D6"/>
    <w:rsid w:val="39041D96"/>
    <w:rsid w:val="39523761"/>
    <w:rsid w:val="39C62BB6"/>
    <w:rsid w:val="3A374711"/>
    <w:rsid w:val="3A714FC9"/>
    <w:rsid w:val="3AB9233E"/>
    <w:rsid w:val="3B0A2FF0"/>
    <w:rsid w:val="3B5F4265"/>
    <w:rsid w:val="3BAB0097"/>
    <w:rsid w:val="3BE617FF"/>
    <w:rsid w:val="3DCC5572"/>
    <w:rsid w:val="3FBC281F"/>
    <w:rsid w:val="413B44E5"/>
    <w:rsid w:val="41EC19A2"/>
    <w:rsid w:val="427C45A1"/>
    <w:rsid w:val="42864EB0"/>
    <w:rsid w:val="452669A6"/>
    <w:rsid w:val="453624E2"/>
    <w:rsid w:val="45560726"/>
    <w:rsid w:val="481B6ADB"/>
    <w:rsid w:val="48B90D26"/>
    <w:rsid w:val="4CBC5798"/>
    <w:rsid w:val="4D8334BF"/>
    <w:rsid w:val="4DB84F40"/>
    <w:rsid w:val="4E83012A"/>
    <w:rsid w:val="4E923DCE"/>
    <w:rsid w:val="4EBF104B"/>
    <w:rsid w:val="50324E46"/>
    <w:rsid w:val="503C7212"/>
    <w:rsid w:val="515B4604"/>
    <w:rsid w:val="542E60AE"/>
    <w:rsid w:val="54F25B03"/>
    <w:rsid w:val="55073AF4"/>
    <w:rsid w:val="587363AB"/>
    <w:rsid w:val="5B013F5E"/>
    <w:rsid w:val="5CDE3EF2"/>
    <w:rsid w:val="5D9E05A7"/>
    <w:rsid w:val="5F356376"/>
    <w:rsid w:val="5FD72B7F"/>
    <w:rsid w:val="62506B5B"/>
    <w:rsid w:val="62B94A87"/>
    <w:rsid w:val="642B1386"/>
    <w:rsid w:val="65AE59DE"/>
    <w:rsid w:val="65C65DE5"/>
    <w:rsid w:val="684B47A9"/>
    <w:rsid w:val="69DA1D9A"/>
    <w:rsid w:val="6B115A9B"/>
    <w:rsid w:val="6CE66C2B"/>
    <w:rsid w:val="6F44559B"/>
    <w:rsid w:val="70A02770"/>
    <w:rsid w:val="7706338B"/>
    <w:rsid w:val="78085CF8"/>
    <w:rsid w:val="79291653"/>
    <w:rsid w:val="796B11C3"/>
    <w:rsid w:val="799F4B15"/>
    <w:rsid w:val="7B8514B2"/>
    <w:rsid w:val="7ED06A1C"/>
    <w:rsid w:val="7F012D94"/>
    <w:rsid w:val="7F995D1A"/>
    <w:rsid w:val="7FEA6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kern w:val="0"/>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unhideWhenUsed/>
    <w:qFormat/>
    <w:uiPriority w:val="99"/>
  </w:style>
  <w:style w:type="character" w:customStyle="1" w:styleId="11">
    <w:name w:val="批注框文本 字符"/>
    <w:link w:val="2"/>
    <w:semiHidden/>
    <w:qFormat/>
    <w:uiPriority w:val="99"/>
    <w:rPr>
      <w:kern w:val="2"/>
      <w:sz w:val="18"/>
      <w:szCs w:val="18"/>
    </w:rPr>
  </w:style>
  <w:style w:type="character" w:customStyle="1" w:styleId="12">
    <w:name w:val="页脚 字符"/>
    <w:link w:val="3"/>
    <w:qFormat/>
    <w:uiPriority w:val="99"/>
    <w:rPr>
      <w:sz w:val="18"/>
      <w:szCs w:val="18"/>
    </w:rPr>
  </w:style>
  <w:style w:type="character" w:customStyle="1" w:styleId="13">
    <w:name w:val="页眉 字符"/>
    <w:link w:val="4"/>
    <w:semiHidden/>
    <w:qFormat/>
    <w:uiPriority w:val="99"/>
    <w:rPr>
      <w:sz w:val="18"/>
      <w:szCs w:val="18"/>
    </w:rPr>
  </w:style>
  <w:style w:type="character" w:customStyle="1" w:styleId="14">
    <w:name w:val="HTML 预设格式 字符"/>
    <w:link w:val="5"/>
    <w:qFormat/>
    <w:uiPriority w:val="99"/>
    <w:rPr>
      <w:rFonts w:ascii="宋体" w:hAnsi="宋体" w:cs="宋体"/>
      <w:sz w:val="24"/>
      <w:szCs w:val="24"/>
    </w:rPr>
  </w:style>
  <w:style w:type="paragraph" w:customStyle="1" w:styleId="15">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6">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table" w:customStyle="1" w:styleId="17">
    <w:name w:val="网格型1"/>
    <w:basedOn w:val="7"/>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8">
    <w:name w:val="Revision"/>
    <w:unhideWhenUsed/>
    <w:qFormat/>
    <w:uiPriority w:val="99"/>
    <w:rPr>
      <w:rFonts w:ascii="Times New Roman" w:hAnsi="Times New Roman" w:eastAsia="宋体" w:cs="Times New Roman"/>
      <w:kern w:val="2"/>
      <w:sz w:val="21"/>
      <w:szCs w:val="22"/>
      <w:lang w:val="en-US" w:eastAsia="zh-CN" w:bidi="ar-SA"/>
    </w:rPr>
  </w:style>
  <w:style w:type="character" w:customStyle="1" w:styleId="19">
    <w:name w:val="font21"/>
    <w:qFormat/>
    <w:uiPriority w:val="0"/>
    <w:rPr>
      <w:rFonts w:hint="eastAsia" w:ascii="宋体" w:hAnsi="宋体" w:eastAsia="宋体" w:cs="宋体"/>
      <w:b/>
      <w:bCs/>
      <w:color w:val="000000"/>
      <w:sz w:val="21"/>
      <w:szCs w:val="21"/>
      <w:u w:val="none"/>
    </w:rPr>
  </w:style>
  <w:style w:type="character" w:customStyle="1" w:styleId="20">
    <w:name w:val="font01"/>
    <w:qFormat/>
    <w:uiPriority w:val="0"/>
    <w:rPr>
      <w:rFonts w:hint="default" w:ascii="Times New Roman" w:hAnsi="Times New Roman" w:cs="Times New Roman"/>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3</Pages>
  <Words>1832</Words>
  <Characters>2099</Characters>
  <Lines>15</Lines>
  <Paragraphs>4</Paragraphs>
  <TotalTime>41</TotalTime>
  <ScaleCrop>false</ScaleCrop>
  <LinksUpToDate>false</LinksUpToDate>
  <CharactersWithSpaces>2134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2024-03-15T10:31:00Z</dcterms:created>
  <dc:creator>王琴</dc:creator>
  <cp:lastModifiedBy>cdq</cp:lastModifiedBy>
  <cp:lastPrinted>2024-03-15T10:40:00Z</cp:lastPrinted>
  <dcterms:modified xsi:type="dcterms:W3CDTF">2025-04-02T08:32:06Z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E7EF5F4C100B43F58B1C1BBB882B02C6</vt:lpwstr>
  </property>
  <property fmtid="{D5CDD505-2E9C-101B-9397-08002B2CF9AE}" pid="4" name="KSOTemplateDocerSaveRecord">
    <vt:lpwstr>eyJoZGlkIjoiY2Q4MDAzNjNiM2EwYjNjY2VkN2I2ZWY4OTg5YTA1ZWYiLCJ1c2VySWQiOiIxMzk5OTUwMzQxIn0=</vt:lpwstr>
  </property>
</Properties>
</file>