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30AFA">
      <w:pPr>
        <w:pStyle w:val="8"/>
        <w:jc w:val="center"/>
        <w:rPr>
          <w:rFonts w:hint="eastAsia" w:ascii="宋体" w:hAnsi="宋体"/>
        </w:rPr>
      </w:pPr>
      <w:bookmarkStart w:id="0" w:name="_GoBack"/>
      <w:bookmarkEnd w:id="0"/>
      <w:r>
        <w:rPr>
          <w:rFonts w:hint="eastAsia" w:ascii="宋体" w:hAnsi="宋体"/>
        </w:rPr>
        <w:t>福建广生堂药业股份有限公司</w:t>
      </w:r>
    </w:p>
    <w:p w14:paraId="77891E05">
      <w:pPr>
        <w:pStyle w:val="8"/>
        <w:jc w:val="center"/>
        <w:rPr>
          <w:rFonts w:hint="eastAsia" w:ascii="宋体" w:hAnsi="宋体"/>
        </w:rPr>
      </w:pPr>
      <w:r>
        <w:rPr>
          <w:rFonts w:hint="eastAsia" w:ascii="宋体" w:hAnsi="宋体"/>
        </w:rPr>
        <w:t>监事会关于2025年度向特定对象发行A股股票的</w:t>
      </w:r>
    </w:p>
    <w:p w14:paraId="6AC8DDAD">
      <w:pPr>
        <w:pStyle w:val="8"/>
        <w:spacing w:after="156" w:afterLines="50"/>
        <w:jc w:val="center"/>
        <w:rPr>
          <w:rFonts w:hint="eastAsia" w:ascii="宋体" w:hAnsi="宋体"/>
        </w:rPr>
      </w:pPr>
      <w:r>
        <w:rPr>
          <w:rFonts w:hint="eastAsia" w:ascii="宋体" w:hAnsi="宋体"/>
        </w:rPr>
        <w:t>书面审核意见</w:t>
      </w:r>
    </w:p>
    <w:p w14:paraId="36ED3347">
      <w:pPr>
        <w:spacing w:line="360" w:lineRule="auto"/>
        <w:ind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根据《中华人民共和国公司法》（以下简称“《公司法》”）、《中华人民共和国证券法》（以下简称“</w:t>
      </w:r>
      <w:r>
        <w:rPr>
          <w:rFonts w:hint="eastAsia" w:ascii="宋体" w:hAnsi="宋体" w:eastAsia="宋体" w:cs="宋体"/>
          <w:color w:val="000000"/>
          <w:kern w:val="0"/>
          <w:sz w:val="24"/>
          <w:shd w:val="clear" w:color="auto" w:fill="FFFFFF"/>
          <w:lang w:val="zh-CN"/>
        </w:rPr>
        <w:t>《证券法》</w:t>
      </w:r>
      <w:r>
        <w:rPr>
          <w:rFonts w:hint="eastAsia" w:ascii="宋体" w:hAnsi="宋体" w:eastAsia="宋体" w:cs="宋体"/>
          <w:kern w:val="0"/>
          <w:sz w:val="24"/>
          <w:lang w:val="zh-CN"/>
        </w:rPr>
        <w:t>”）以及中国证券监督管理委员会发布的《上市公司证券发行注册管理办法》等有关法律法规、规范性文件的规定，我们作为福建广生堂药业股份有限公司（以下简称“公司”）的监事，在全面了解和审核公司2025年度向特定对象发行A股股票的相关文件后，发表书面审核意见如下：</w:t>
      </w:r>
    </w:p>
    <w:p w14:paraId="7504F607">
      <w:pPr>
        <w:spacing w:line="360" w:lineRule="auto"/>
        <w:ind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一、公司符合《公司法》</w:t>
      </w:r>
      <w:r>
        <w:rPr>
          <w:rFonts w:hint="eastAsia" w:ascii="宋体" w:hAnsi="宋体" w:eastAsia="宋体" w:cs="宋体"/>
          <w:color w:val="000000"/>
          <w:kern w:val="0"/>
          <w:sz w:val="24"/>
          <w:shd w:val="clear" w:color="auto" w:fill="FFFFFF"/>
          <w:lang w:val="zh-CN"/>
        </w:rPr>
        <w:t>《证券法》</w:t>
      </w:r>
      <w:r>
        <w:rPr>
          <w:rFonts w:hint="eastAsia" w:ascii="宋体" w:hAnsi="宋体" w:eastAsia="宋体" w:cs="宋体"/>
          <w:kern w:val="0"/>
          <w:sz w:val="24"/>
          <w:lang w:val="zh-CN"/>
        </w:rPr>
        <w:t>以及《上市公司证券发行注册管理办法》等法律法规、规范性文件关于创业板上市公司向特定对象发行股票的有关规定，具备创业板上市公司向特定对象发行股票的条件和资格。</w:t>
      </w:r>
    </w:p>
    <w:p w14:paraId="036A2688">
      <w:pPr>
        <w:spacing w:line="360" w:lineRule="auto"/>
        <w:ind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二、公司2025年度向特定对象发行A股股票的方案符合《公司法》</w:t>
      </w:r>
      <w:r>
        <w:rPr>
          <w:rFonts w:hint="eastAsia" w:ascii="宋体" w:hAnsi="宋体" w:eastAsia="宋体" w:cs="宋体"/>
          <w:color w:val="000000"/>
          <w:kern w:val="0"/>
          <w:sz w:val="24"/>
          <w:shd w:val="clear" w:color="auto" w:fill="FFFFFF"/>
          <w:lang w:val="zh-CN"/>
        </w:rPr>
        <w:t>《证券法》</w:t>
      </w:r>
      <w:r>
        <w:rPr>
          <w:rFonts w:hint="eastAsia" w:ascii="宋体" w:hAnsi="宋体" w:eastAsia="宋体" w:cs="宋体"/>
          <w:kern w:val="0"/>
          <w:sz w:val="24"/>
          <w:lang w:val="zh-CN"/>
        </w:rPr>
        <w:t>以及《上市公司证券发行注册管理办法》等法律法规、规范性文件和《福建广生堂药业股份有限公司章程》的相关规定，符合公司的整体发展战略，保障公司的可持续发展，不存在损害公司及公司全体股东尤其是中小股东利益的情形。</w:t>
      </w:r>
    </w:p>
    <w:p w14:paraId="25113F6F">
      <w:pPr>
        <w:spacing w:line="360" w:lineRule="auto"/>
        <w:ind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三、公司编制的《福建广生堂药业股份有限公司2025年度向特定对象发行A股股票预案》综合考虑了行业发展现状和发展趋势、公司的实际情况以及2025年度向特定对象发行A股股票对公司的影响，符合《公司法》</w:t>
      </w:r>
      <w:r>
        <w:rPr>
          <w:rFonts w:hint="eastAsia" w:ascii="宋体" w:hAnsi="宋体" w:eastAsia="宋体" w:cs="宋体"/>
          <w:color w:val="000000"/>
          <w:kern w:val="0"/>
          <w:sz w:val="24"/>
          <w:shd w:val="clear" w:color="auto" w:fill="FFFFFF"/>
          <w:lang w:val="zh-CN"/>
        </w:rPr>
        <w:t>《证券法》</w:t>
      </w:r>
      <w:r>
        <w:rPr>
          <w:rFonts w:hint="eastAsia" w:ascii="宋体" w:hAnsi="宋体" w:eastAsia="宋体" w:cs="宋体"/>
          <w:kern w:val="0"/>
          <w:sz w:val="24"/>
          <w:lang w:val="zh-CN"/>
        </w:rPr>
        <w:t>以及《上市公司证券发行注册管理办法》的相关规定，有利于保障公司及公司全体股东的利益。</w:t>
      </w:r>
    </w:p>
    <w:p w14:paraId="7C3F4643">
      <w:pPr>
        <w:spacing w:line="360" w:lineRule="auto"/>
        <w:ind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四、公司拟定的《福建广生堂药业股份有限公司2025年度向特定对象发行A股股票方案论证分析报告》充分考虑公司所处行业和发展阶段、财务状况、资金需求等情况，详细论证2025年度向特定对象发行A股股票的必要性和可行性，符合相关法律法规、规范性文件的要求，符合公司的长远发展目标。</w:t>
      </w:r>
    </w:p>
    <w:p w14:paraId="18FF5E92">
      <w:pPr>
        <w:spacing w:line="360" w:lineRule="auto"/>
        <w:ind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五、公司就2025年度向特定对象发行A股股票编制了《福建广生堂药业股份有限公司2025年度向特定对象发行A股股票募集资金使用可行性分析报告》，本次向特定对象发行A股股票的募集资金投向符合国家相关政策和《公司法》</w:t>
      </w:r>
      <w:r>
        <w:rPr>
          <w:rFonts w:hint="eastAsia" w:ascii="宋体" w:hAnsi="宋体" w:eastAsia="宋体" w:cs="宋体"/>
          <w:color w:val="000000"/>
          <w:kern w:val="0"/>
          <w:sz w:val="24"/>
          <w:shd w:val="clear" w:color="auto" w:fill="FFFFFF"/>
          <w:lang w:val="zh-CN"/>
        </w:rPr>
        <w:t>《证券法》</w:t>
      </w:r>
      <w:r>
        <w:rPr>
          <w:rFonts w:hint="eastAsia" w:ascii="宋体" w:hAnsi="宋体" w:eastAsia="宋体" w:cs="宋体"/>
          <w:kern w:val="0"/>
          <w:sz w:val="24"/>
          <w:lang w:val="zh-CN"/>
        </w:rPr>
        <w:t>以及《上市公司证券发行注册管理办法》等有关法律法规、规范性文件的规定，符合公司未来战略规划，具备必要性和可行性。</w:t>
      </w:r>
    </w:p>
    <w:p w14:paraId="42B6EA72">
      <w:pPr>
        <w:spacing w:line="360" w:lineRule="auto"/>
        <w:ind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六、公司根据《关于首发及再融资、重大资产重组摊薄即期回报有关事项的指导意见》（</w:t>
      </w:r>
      <w:r>
        <w:rPr>
          <w:rFonts w:hint="eastAsia" w:ascii="宋体" w:hAnsi="宋体" w:eastAsia="宋体" w:cs="宋体"/>
          <w:color w:val="000000"/>
          <w:kern w:val="0"/>
          <w:sz w:val="24"/>
          <w:shd w:val="clear" w:color="auto" w:fill="FFFFFF"/>
          <w:lang w:val="zh-CN"/>
        </w:rPr>
        <w:t>证监会公告[2015]31号</w:t>
      </w:r>
      <w:r>
        <w:rPr>
          <w:rFonts w:hint="eastAsia" w:ascii="宋体" w:hAnsi="宋体" w:eastAsia="宋体" w:cs="宋体"/>
          <w:kern w:val="0"/>
          <w:sz w:val="24"/>
          <w:lang w:val="zh-CN"/>
        </w:rPr>
        <w:t>）的相关要求，对本次向特定对象发行A股股票摊薄即期回报对公司主要财务指标的影响进行了认真分析并提出了具体的填补回报措施，相关主体对公司填补回报措施能够得到切实履行做出了承诺，有利于维护公司及公司全体股东尤其是中小股东的利益。</w:t>
      </w:r>
    </w:p>
    <w:p w14:paraId="4E6E9770">
      <w:pPr>
        <w:spacing w:line="360" w:lineRule="auto"/>
        <w:ind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七、公司编制了截至2024年9月30日的《前次募集资金使用情况专项报告》，前述报告已经北京德皓国际会计师事务所（特殊普通合伙）鉴证，并出具鉴证报告。公司已披露的募集资金使用的内容真实、准确、完整、不存在虚假记录、误导性陈述和重大遗漏。</w:t>
      </w:r>
    </w:p>
    <w:p w14:paraId="12134AF0">
      <w:pPr>
        <w:spacing w:line="360" w:lineRule="auto"/>
        <w:ind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八、公司董事会拟定的《未来三年（2025年-2027年）股东回报规划》符合公司的实际情况，能够充分保障公司全体股东尤其是中小股东的利益。</w:t>
      </w:r>
    </w:p>
    <w:p w14:paraId="3A771053">
      <w:pPr>
        <w:spacing w:line="360" w:lineRule="auto"/>
        <w:ind w:firstLine="480" w:firstLineChars="200"/>
        <w:rPr>
          <w:rFonts w:hint="eastAsia" w:ascii="宋体" w:hAnsi="宋体" w:eastAsia="宋体" w:cs="宋体"/>
          <w:kern w:val="0"/>
          <w:sz w:val="24"/>
          <w:lang w:val="zh-CN"/>
        </w:rPr>
      </w:pPr>
      <w:r>
        <w:rPr>
          <w:rFonts w:hint="eastAsia" w:ascii="宋体" w:hAnsi="宋体" w:eastAsia="宋体" w:cs="宋体"/>
          <w:kern w:val="0"/>
          <w:sz w:val="24"/>
          <w:lang w:val="zh-CN"/>
        </w:rPr>
        <w:t>九、本次提请股东大会授权董事会或董事会授权人士办理本次向特定对象发行A股股票相关事宜符合有关法律法规、规范性文件和《福建广生堂药业股份有限公司章程》的规定，有利于本次向特定对象发行股票相关事宜的快速推进，符合公司及全体股东的利益，不存在损害公司股东特别是中小股东利益的情形。</w:t>
      </w:r>
    </w:p>
    <w:p w14:paraId="189FDC67">
      <w:pPr>
        <w:spacing w:line="360" w:lineRule="auto"/>
        <w:ind w:firstLine="480" w:firstLineChars="200"/>
        <w:rPr>
          <w:rFonts w:hint="eastAsia" w:ascii="宋体" w:hAnsi="宋体" w:eastAsia="宋体" w:cs="宋体"/>
          <w:kern w:val="0"/>
          <w:sz w:val="24"/>
          <w:lang w:val="zh-CN"/>
        </w:rPr>
      </w:pPr>
    </w:p>
    <w:p w14:paraId="14A7AC19">
      <w:pPr>
        <w:autoSpaceDE w:val="0"/>
        <w:autoSpaceDN w:val="0"/>
        <w:adjustRightInd w:val="0"/>
        <w:spacing w:line="360" w:lineRule="auto"/>
        <w:ind w:firstLine="480" w:firstLineChars="200"/>
        <w:jc w:val="left"/>
        <w:rPr>
          <w:rFonts w:hint="eastAsia" w:ascii="宋体" w:hAnsi="宋体" w:eastAsia="宋体" w:cs="Times New Roman"/>
          <w:sz w:val="24"/>
        </w:rPr>
      </w:pPr>
    </w:p>
    <w:p w14:paraId="7F81F1B4">
      <w:pPr>
        <w:autoSpaceDE w:val="0"/>
        <w:autoSpaceDN w:val="0"/>
        <w:adjustRightInd w:val="0"/>
        <w:spacing w:line="360" w:lineRule="auto"/>
        <w:ind w:firstLine="480" w:firstLineChars="200"/>
        <w:jc w:val="left"/>
        <w:rPr>
          <w:rFonts w:hint="eastAsia" w:ascii="宋体" w:hAnsi="宋体" w:eastAsia="宋体" w:cs="Times New Roman"/>
          <w:sz w:val="24"/>
        </w:rPr>
      </w:pPr>
    </w:p>
    <w:p w14:paraId="37227031">
      <w:pPr>
        <w:autoSpaceDE w:val="0"/>
        <w:autoSpaceDN w:val="0"/>
        <w:adjustRightInd w:val="0"/>
        <w:spacing w:line="360" w:lineRule="auto"/>
        <w:jc w:val="right"/>
        <w:rPr>
          <w:rFonts w:hint="eastAsia" w:ascii="宋体" w:hAnsi="宋体" w:eastAsia="宋体" w:cs="Times New Roman"/>
          <w:sz w:val="24"/>
        </w:rPr>
      </w:pPr>
      <w:r>
        <w:rPr>
          <w:rFonts w:hint="eastAsia" w:ascii="宋体" w:hAnsi="宋体" w:eastAsia="宋体" w:cs="Times New Roman"/>
          <w:sz w:val="24"/>
        </w:rPr>
        <w:t>福建广生堂药业股份有限公司监事会</w:t>
      </w:r>
    </w:p>
    <w:p w14:paraId="226BCBEF">
      <w:pPr>
        <w:spacing w:line="360" w:lineRule="auto"/>
        <w:ind w:right="480" w:firstLine="480" w:firstLineChars="200"/>
        <w:jc w:val="center"/>
        <w:rPr>
          <w:rFonts w:hint="eastAsia" w:ascii="宋体" w:hAnsi="宋体" w:eastAsia="宋体" w:cs="Times New Roman"/>
          <w:sz w:val="24"/>
        </w:rPr>
      </w:pPr>
      <w:r>
        <w:rPr>
          <w:rFonts w:hint="eastAsia" w:ascii="宋体" w:hAnsi="宋体" w:eastAsia="宋体" w:cs="Times New Roman"/>
          <w:sz w:val="24"/>
        </w:rPr>
        <w:t xml:space="preserve">                                       2025年4月2日</w:t>
      </w:r>
    </w:p>
    <w:p w14:paraId="011813E4">
      <w:pPr>
        <w:rPr>
          <w:rFonts w:hint="eastAsia" w:ascii="宋体" w:hAnsi="宋体" w:eastAsia="宋体" w:cs="Times New Roman"/>
          <w:sz w:val="24"/>
        </w:rPr>
      </w:pPr>
      <w:r>
        <w:rPr>
          <w:rFonts w:hint="eastAsia" w:ascii="宋体" w:hAnsi="宋体" w:eastAsia="宋体" w:cs="Times New Roman"/>
          <w:sz w:val="24"/>
        </w:rPr>
        <w:br w:type="page"/>
      </w:r>
    </w:p>
    <w:p w14:paraId="0296B554">
      <w:pPr>
        <w:spacing w:line="360" w:lineRule="auto"/>
        <w:ind w:right="482"/>
        <w:rPr>
          <w:rFonts w:hint="eastAsia" w:ascii="宋体" w:hAnsi="宋体" w:eastAsia="宋体" w:cs="Times New Roman"/>
          <w:sz w:val="24"/>
        </w:rPr>
      </w:pPr>
      <w:r>
        <w:rPr>
          <w:rFonts w:hint="eastAsia" w:ascii="宋体" w:hAnsi="宋体" w:eastAsia="宋体" w:cs="Times New Roman"/>
          <w:sz w:val="24"/>
        </w:rPr>
        <w:t>（本页无正文，为福建广生堂药业股份有限公司监事会关于2025年度向特定对象发行A股股票的书面审核意见签字页）</w:t>
      </w:r>
    </w:p>
    <w:p w14:paraId="68C261B6">
      <w:pPr>
        <w:spacing w:line="360" w:lineRule="auto"/>
        <w:ind w:right="482"/>
        <w:rPr>
          <w:rFonts w:hint="eastAsia" w:ascii="宋体" w:hAnsi="宋体" w:eastAsia="宋体" w:cs="Times New Roman"/>
          <w:sz w:val="24"/>
        </w:rPr>
      </w:pPr>
    </w:p>
    <w:p w14:paraId="4C8B6099">
      <w:pPr>
        <w:spacing w:line="360" w:lineRule="auto"/>
        <w:ind w:right="482"/>
        <w:rPr>
          <w:rFonts w:hint="eastAsia" w:ascii="宋体" w:hAnsi="宋体" w:eastAsia="宋体" w:cs="Times New Roman"/>
          <w:sz w:val="24"/>
        </w:rPr>
      </w:pPr>
    </w:p>
    <w:p w14:paraId="5D639B37">
      <w:pPr>
        <w:spacing w:after="468" w:afterLines="150" w:line="360" w:lineRule="auto"/>
        <w:rPr>
          <w:b/>
          <w:sz w:val="24"/>
        </w:rPr>
      </w:pPr>
      <w:r>
        <w:rPr>
          <w:b/>
          <w:sz w:val="24"/>
        </w:rPr>
        <w:t>全体</w:t>
      </w:r>
      <w:r>
        <w:rPr>
          <w:rFonts w:hint="eastAsia"/>
          <w:b/>
          <w:sz w:val="24"/>
        </w:rPr>
        <w:t>监事</w:t>
      </w:r>
      <w:r>
        <w:rPr>
          <w:b/>
          <w:sz w:val="24"/>
        </w:rPr>
        <w:t>签字：</w:t>
      </w:r>
    </w:p>
    <w:p w14:paraId="7E2F1515">
      <w:pPr>
        <w:spacing w:after="468" w:afterLines="150" w:line="360" w:lineRule="auto"/>
        <w:rPr>
          <w:b/>
          <w:sz w:val="24"/>
        </w:rPr>
      </w:pPr>
    </w:p>
    <w:p w14:paraId="48A9A458">
      <w:pPr>
        <w:spacing w:after="468" w:afterLines="150" w:line="360" w:lineRule="auto"/>
        <w:rPr>
          <w:rFonts w:hint="eastAsia" w:ascii="宋体" w:hAnsi="宋体" w:cs="宋体"/>
          <w:b/>
          <w:sz w:val="24"/>
        </w:rPr>
      </w:pPr>
    </w:p>
    <w:p w14:paraId="35F048AE">
      <w:pPr>
        <w:adjustRightInd w:val="0"/>
        <w:snapToGrid w:val="0"/>
        <w:spacing w:line="360" w:lineRule="auto"/>
        <w:ind w:firstLine="482" w:firstLineChars="200"/>
        <w:rPr>
          <w:rFonts w:hint="eastAsia" w:ascii="宋体" w:hAnsi="宋体" w:cs="宋体"/>
          <w:sz w:val="24"/>
        </w:rPr>
      </w:pPr>
      <w:r>
        <w:rPr>
          <w:rFonts w:hint="eastAsia" w:ascii="宋体" w:hAnsi="宋体" w:cs="宋体"/>
          <w:b/>
          <w:sz w:val="24"/>
          <w:u w:val="single"/>
        </w:rPr>
        <w:t xml:space="preserve">               </w:t>
      </w:r>
      <w:r>
        <w:rPr>
          <w:rFonts w:hint="eastAsia" w:ascii="宋体" w:hAnsi="宋体" w:cs="宋体"/>
          <w:b/>
          <w:sz w:val="24"/>
        </w:rPr>
        <w:t xml:space="preserve">        </w:t>
      </w:r>
      <w:r>
        <w:rPr>
          <w:rFonts w:hint="eastAsia" w:ascii="宋体" w:hAnsi="宋体" w:cs="宋体"/>
          <w:b/>
          <w:sz w:val="24"/>
          <w:u w:val="single"/>
        </w:rPr>
        <w:t xml:space="preserve">               </w:t>
      </w:r>
      <w:r>
        <w:rPr>
          <w:rFonts w:hint="eastAsia" w:ascii="宋体" w:hAnsi="宋体" w:cs="宋体"/>
          <w:b/>
          <w:sz w:val="24"/>
        </w:rPr>
        <w:t xml:space="preserve">       </w:t>
      </w:r>
      <w:r>
        <w:rPr>
          <w:rFonts w:hint="eastAsia" w:ascii="宋体" w:hAnsi="宋体" w:cs="宋体"/>
          <w:b/>
          <w:sz w:val="24"/>
          <w:u w:val="single"/>
        </w:rPr>
        <w:t xml:space="preserve">                </w:t>
      </w:r>
    </w:p>
    <w:p w14:paraId="6D09D89D">
      <w:pPr>
        <w:spacing w:after="468" w:afterLines="150" w:line="360" w:lineRule="auto"/>
        <w:rPr>
          <w:rFonts w:hint="eastAsia" w:ascii="宋体" w:hAnsi="宋体" w:cs="宋体"/>
          <w:sz w:val="24"/>
        </w:rPr>
      </w:pPr>
      <w:r>
        <w:rPr>
          <w:rFonts w:hint="eastAsia" w:ascii="宋体" w:hAnsi="宋体" w:cs="宋体"/>
          <w:sz w:val="24"/>
        </w:rPr>
        <w:t xml:space="preserve">        史保明                 肖厚麟                 林海峰</w:t>
      </w:r>
    </w:p>
    <w:p w14:paraId="3227954F">
      <w:pPr>
        <w:spacing w:after="468" w:afterLines="150" w:line="360" w:lineRule="auto"/>
        <w:jc w:val="right"/>
        <w:rPr>
          <w:rFonts w:hint="eastAsia" w:ascii="宋体" w:hAnsi="宋体" w:cs="宋体"/>
          <w:sz w:val="24"/>
        </w:rPr>
      </w:pPr>
    </w:p>
    <w:p w14:paraId="0D66826E">
      <w:pPr>
        <w:spacing w:after="468" w:afterLines="150" w:line="360" w:lineRule="auto"/>
        <w:rPr>
          <w:rFonts w:hint="eastAsia" w:ascii="宋体" w:hAnsi="宋体" w:cs="宋体"/>
          <w:sz w:val="24"/>
        </w:rPr>
      </w:pPr>
    </w:p>
    <w:p w14:paraId="0DCDD75D">
      <w:pPr>
        <w:spacing w:after="468" w:afterLines="150" w:line="360" w:lineRule="auto"/>
        <w:rPr>
          <w:rFonts w:hint="eastAsia" w:ascii="宋体" w:hAnsi="宋体" w:cs="宋体"/>
          <w:sz w:val="24"/>
        </w:rPr>
      </w:pPr>
    </w:p>
    <w:p w14:paraId="143F7CA8">
      <w:pPr>
        <w:spacing w:after="468" w:afterLines="150" w:line="360" w:lineRule="auto"/>
        <w:rPr>
          <w:rFonts w:hint="eastAsia" w:ascii="宋体" w:hAnsi="宋体" w:cs="宋体"/>
          <w:sz w:val="24"/>
        </w:rPr>
      </w:pPr>
    </w:p>
    <w:p w14:paraId="40F67146">
      <w:pPr>
        <w:spacing w:line="360" w:lineRule="auto"/>
        <w:jc w:val="right"/>
        <w:rPr>
          <w:rFonts w:ascii="Times New Roman" w:hAnsi="Times New Roman"/>
          <w:sz w:val="24"/>
        </w:rPr>
      </w:pPr>
      <w:r>
        <w:rPr>
          <w:rFonts w:ascii="Times New Roman" w:hAnsi="Times New Roman"/>
          <w:sz w:val="24"/>
        </w:rPr>
        <w:t xml:space="preserve">  福建广生堂药业股份有限公司监事会</w:t>
      </w:r>
    </w:p>
    <w:p w14:paraId="67D67CFA">
      <w:pPr>
        <w:spacing w:line="360" w:lineRule="auto"/>
        <w:jc w:val="right"/>
        <w:rPr>
          <w:rFonts w:hint="eastAsia" w:ascii="宋体" w:hAnsi="宋体" w:eastAsia="宋体" w:cs="Times New Roman"/>
          <w:sz w:val="24"/>
        </w:rPr>
      </w:pPr>
      <w:r>
        <w:rPr>
          <w:rFonts w:ascii="Times New Roman" w:hAnsi="Times New Roman"/>
          <w:sz w:val="24"/>
        </w:rPr>
        <w:t xml:space="preserve">                                         </w:t>
      </w:r>
      <w:r>
        <w:rPr>
          <w:rFonts w:hint="eastAsia" w:ascii="Times New Roman" w:hAnsi="Times New Roman"/>
          <w:sz w:val="24"/>
        </w:rPr>
        <w:t xml:space="preserve">  </w:t>
      </w:r>
      <w:r>
        <w:rPr>
          <w:rFonts w:ascii="Times New Roman" w:hAnsi="Times New Roman"/>
          <w:sz w:val="24"/>
        </w:rPr>
        <w:t>年</w:t>
      </w:r>
      <w:r>
        <w:rPr>
          <w:rFonts w:hint="eastAsia" w:ascii="Times New Roman" w:hAnsi="Times New Roman"/>
          <w:sz w:val="24"/>
        </w:rPr>
        <w:t xml:space="preserve">   </w:t>
      </w:r>
      <w:r>
        <w:rPr>
          <w:rFonts w:ascii="Times New Roman" w:hAnsi="Times New Roman"/>
          <w:sz w:val="24"/>
        </w:rPr>
        <w:t>月</w:t>
      </w:r>
      <w:r>
        <w:rPr>
          <w:rFonts w:hint="eastAsia" w:ascii="Times New Roman" w:hAnsi="Times New Roman"/>
          <w:sz w:val="24"/>
        </w:rPr>
        <w:t xml:space="preserve">   </w:t>
      </w:r>
      <w:r>
        <w:rPr>
          <w:rFonts w:ascii="Times New Roman" w:hAnsi="Times New Roman"/>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metasota_documentID" w:val="8329676563950141440"/>
  </w:docVars>
  <w:rsids>
    <w:rsidRoot w:val="0F063D35"/>
    <w:rsid w:val="000002C6"/>
    <w:rsid w:val="00004653"/>
    <w:rsid w:val="00010BA2"/>
    <w:rsid w:val="00012161"/>
    <w:rsid w:val="0002056B"/>
    <w:rsid w:val="00046153"/>
    <w:rsid w:val="00054920"/>
    <w:rsid w:val="00056C5B"/>
    <w:rsid w:val="00057AB8"/>
    <w:rsid w:val="00085732"/>
    <w:rsid w:val="000929C0"/>
    <w:rsid w:val="00094E98"/>
    <w:rsid w:val="000C13DD"/>
    <w:rsid w:val="000C1C9F"/>
    <w:rsid w:val="000C1D2D"/>
    <w:rsid w:val="000C522D"/>
    <w:rsid w:val="000D272C"/>
    <w:rsid w:val="000D7E19"/>
    <w:rsid w:val="000E2382"/>
    <w:rsid w:val="000E4EB8"/>
    <w:rsid w:val="000F134A"/>
    <w:rsid w:val="00141966"/>
    <w:rsid w:val="00147C4A"/>
    <w:rsid w:val="00194CFC"/>
    <w:rsid w:val="001C0968"/>
    <w:rsid w:val="001C2A10"/>
    <w:rsid w:val="001E07A8"/>
    <w:rsid w:val="001F41CB"/>
    <w:rsid w:val="001F7179"/>
    <w:rsid w:val="00210616"/>
    <w:rsid w:val="0021377E"/>
    <w:rsid w:val="00213A96"/>
    <w:rsid w:val="00230E7D"/>
    <w:rsid w:val="00266FD7"/>
    <w:rsid w:val="00275D2A"/>
    <w:rsid w:val="00292FC4"/>
    <w:rsid w:val="002C4EAD"/>
    <w:rsid w:val="002C5595"/>
    <w:rsid w:val="002D5448"/>
    <w:rsid w:val="00306FD7"/>
    <w:rsid w:val="003149B9"/>
    <w:rsid w:val="00336FA9"/>
    <w:rsid w:val="003708C0"/>
    <w:rsid w:val="00392BA5"/>
    <w:rsid w:val="003C53C6"/>
    <w:rsid w:val="003E2FE4"/>
    <w:rsid w:val="00401B19"/>
    <w:rsid w:val="004373A0"/>
    <w:rsid w:val="00447CB6"/>
    <w:rsid w:val="00462BB6"/>
    <w:rsid w:val="004643BE"/>
    <w:rsid w:val="00483DD3"/>
    <w:rsid w:val="00487383"/>
    <w:rsid w:val="00491E08"/>
    <w:rsid w:val="004B34F2"/>
    <w:rsid w:val="004B495C"/>
    <w:rsid w:val="004B7BE1"/>
    <w:rsid w:val="004C371C"/>
    <w:rsid w:val="004D07B5"/>
    <w:rsid w:val="005038C5"/>
    <w:rsid w:val="00551CD4"/>
    <w:rsid w:val="005734C0"/>
    <w:rsid w:val="005747FB"/>
    <w:rsid w:val="00576F43"/>
    <w:rsid w:val="00593FD0"/>
    <w:rsid w:val="005B1696"/>
    <w:rsid w:val="005C065A"/>
    <w:rsid w:val="005E11C0"/>
    <w:rsid w:val="005F3A80"/>
    <w:rsid w:val="0062249E"/>
    <w:rsid w:val="00623803"/>
    <w:rsid w:val="00626162"/>
    <w:rsid w:val="006417CA"/>
    <w:rsid w:val="00643AB8"/>
    <w:rsid w:val="006666BA"/>
    <w:rsid w:val="00667423"/>
    <w:rsid w:val="006679E7"/>
    <w:rsid w:val="0068378C"/>
    <w:rsid w:val="006C76E7"/>
    <w:rsid w:val="007008DC"/>
    <w:rsid w:val="00713324"/>
    <w:rsid w:val="00733995"/>
    <w:rsid w:val="0075674F"/>
    <w:rsid w:val="00757BE7"/>
    <w:rsid w:val="00762065"/>
    <w:rsid w:val="00765CCB"/>
    <w:rsid w:val="00773265"/>
    <w:rsid w:val="00786B0D"/>
    <w:rsid w:val="007A3147"/>
    <w:rsid w:val="007B65A7"/>
    <w:rsid w:val="007C1F49"/>
    <w:rsid w:val="007C2B7D"/>
    <w:rsid w:val="007D4821"/>
    <w:rsid w:val="007E631C"/>
    <w:rsid w:val="007F79A1"/>
    <w:rsid w:val="00811122"/>
    <w:rsid w:val="00823049"/>
    <w:rsid w:val="00843CE2"/>
    <w:rsid w:val="008444F4"/>
    <w:rsid w:val="008634F5"/>
    <w:rsid w:val="00867C43"/>
    <w:rsid w:val="008918C2"/>
    <w:rsid w:val="008B056E"/>
    <w:rsid w:val="008C1943"/>
    <w:rsid w:val="008E782C"/>
    <w:rsid w:val="008F6716"/>
    <w:rsid w:val="008F70FC"/>
    <w:rsid w:val="00910C9B"/>
    <w:rsid w:val="0092181A"/>
    <w:rsid w:val="0093747C"/>
    <w:rsid w:val="00941A15"/>
    <w:rsid w:val="0095488A"/>
    <w:rsid w:val="00956FF8"/>
    <w:rsid w:val="00962ACB"/>
    <w:rsid w:val="0096402C"/>
    <w:rsid w:val="00965D43"/>
    <w:rsid w:val="009669CF"/>
    <w:rsid w:val="0099438F"/>
    <w:rsid w:val="009A2EEA"/>
    <w:rsid w:val="009A3F3D"/>
    <w:rsid w:val="009B5E1C"/>
    <w:rsid w:val="009C3B98"/>
    <w:rsid w:val="009D2184"/>
    <w:rsid w:val="009D3ED4"/>
    <w:rsid w:val="009E1040"/>
    <w:rsid w:val="00A05EA5"/>
    <w:rsid w:val="00A1044A"/>
    <w:rsid w:val="00A123E8"/>
    <w:rsid w:val="00A31666"/>
    <w:rsid w:val="00A44608"/>
    <w:rsid w:val="00A5706B"/>
    <w:rsid w:val="00A72F71"/>
    <w:rsid w:val="00AA5C1A"/>
    <w:rsid w:val="00AD381B"/>
    <w:rsid w:val="00AF5761"/>
    <w:rsid w:val="00B01722"/>
    <w:rsid w:val="00B05B43"/>
    <w:rsid w:val="00B11016"/>
    <w:rsid w:val="00B14DD6"/>
    <w:rsid w:val="00B215D3"/>
    <w:rsid w:val="00B27BE6"/>
    <w:rsid w:val="00B30C73"/>
    <w:rsid w:val="00B616F3"/>
    <w:rsid w:val="00B6647E"/>
    <w:rsid w:val="00B671BD"/>
    <w:rsid w:val="00B71467"/>
    <w:rsid w:val="00B73094"/>
    <w:rsid w:val="00B83289"/>
    <w:rsid w:val="00BA1353"/>
    <w:rsid w:val="00C14AFB"/>
    <w:rsid w:val="00C215A2"/>
    <w:rsid w:val="00C25262"/>
    <w:rsid w:val="00C32D19"/>
    <w:rsid w:val="00C37B09"/>
    <w:rsid w:val="00C4429D"/>
    <w:rsid w:val="00C507CA"/>
    <w:rsid w:val="00C624D7"/>
    <w:rsid w:val="00C74ABD"/>
    <w:rsid w:val="00C87217"/>
    <w:rsid w:val="00CB32C9"/>
    <w:rsid w:val="00CC095A"/>
    <w:rsid w:val="00CD5BAB"/>
    <w:rsid w:val="00CD6166"/>
    <w:rsid w:val="00CE52F1"/>
    <w:rsid w:val="00CF7A12"/>
    <w:rsid w:val="00D20285"/>
    <w:rsid w:val="00D314D0"/>
    <w:rsid w:val="00D357B5"/>
    <w:rsid w:val="00D71A7F"/>
    <w:rsid w:val="00D7607F"/>
    <w:rsid w:val="00D86A0F"/>
    <w:rsid w:val="00D91C0D"/>
    <w:rsid w:val="00DB639B"/>
    <w:rsid w:val="00DC4BFF"/>
    <w:rsid w:val="00DE1171"/>
    <w:rsid w:val="00DF17A7"/>
    <w:rsid w:val="00E06EE7"/>
    <w:rsid w:val="00E17EEA"/>
    <w:rsid w:val="00E23F53"/>
    <w:rsid w:val="00E2618F"/>
    <w:rsid w:val="00E51198"/>
    <w:rsid w:val="00E95BEF"/>
    <w:rsid w:val="00E965A6"/>
    <w:rsid w:val="00EC1C46"/>
    <w:rsid w:val="00EC1FB9"/>
    <w:rsid w:val="00ED6630"/>
    <w:rsid w:val="00EE039A"/>
    <w:rsid w:val="00EE5CD2"/>
    <w:rsid w:val="00EF0CFE"/>
    <w:rsid w:val="00F02612"/>
    <w:rsid w:val="00F0533B"/>
    <w:rsid w:val="00F22767"/>
    <w:rsid w:val="00F4376D"/>
    <w:rsid w:val="00F543AE"/>
    <w:rsid w:val="00F73850"/>
    <w:rsid w:val="00FC14CC"/>
    <w:rsid w:val="00FD2939"/>
    <w:rsid w:val="00FD6FF5"/>
    <w:rsid w:val="00FE2A29"/>
    <w:rsid w:val="00FE6BAC"/>
    <w:rsid w:val="00FF17B2"/>
    <w:rsid w:val="00FF6A06"/>
    <w:rsid w:val="0F063D35"/>
    <w:rsid w:val="15497ED2"/>
    <w:rsid w:val="1BBA2511"/>
    <w:rsid w:val="26D85108"/>
    <w:rsid w:val="34672F58"/>
    <w:rsid w:val="3D7F4B51"/>
    <w:rsid w:val="481B7522"/>
    <w:rsid w:val="4AC15DDB"/>
    <w:rsid w:val="68FF464C"/>
    <w:rsid w:val="71A75714"/>
    <w:rsid w:val="792B7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9"/>
    <w:qFormat/>
    <w:uiPriority w:val="0"/>
    <w:pPr>
      <w:spacing w:before="50" w:beforeLines="50" w:after="50" w:afterLines="50" w:line="360" w:lineRule="auto"/>
      <w:outlineLvl w:val="0"/>
    </w:pPr>
    <w:rPr>
      <w:rFonts w:ascii="宋体" w:hAnsi="宋体" w:eastAsia="宋体"/>
      <w:b/>
      <w:bCs/>
      <w:kern w:val="44"/>
      <w:sz w:val="24"/>
      <w:szCs w:val="44"/>
    </w:rPr>
  </w:style>
  <w:style w:type="paragraph" w:styleId="3">
    <w:name w:val="heading 2"/>
    <w:basedOn w:val="1"/>
    <w:next w:val="1"/>
    <w:link w:val="21"/>
    <w:unhideWhenUsed/>
    <w:qFormat/>
    <w:uiPriority w:val="0"/>
    <w:pPr>
      <w:spacing w:line="360" w:lineRule="auto"/>
      <w:ind w:firstLine="200" w:firstLineChars="200"/>
      <w:outlineLvl w:val="1"/>
    </w:pPr>
    <w:rPr>
      <w:rFonts w:ascii="宋体" w:hAnsi="宋体" w:eastAsia="宋体" w:cstheme="majorBidi"/>
      <w:b/>
      <w:bCs/>
      <w:sz w:val="24"/>
      <w:szCs w:val="32"/>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17"/>
    <w:qFormat/>
    <w:uiPriority w:val="0"/>
    <w:pPr>
      <w:jc w:val="left"/>
    </w:pPr>
  </w:style>
  <w:style w:type="paragraph" w:styleId="5">
    <w:name w:val="Balloon Text"/>
    <w:basedOn w:val="1"/>
    <w:link w:val="15"/>
    <w:qFormat/>
    <w:uiPriority w:val="0"/>
    <w:rPr>
      <w:sz w:val="18"/>
      <w:szCs w:val="18"/>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Title"/>
    <w:basedOn w:val="1"/>
    <w:next w:val="1"/>
    <w:link w:val="20"/>
    <w:qFormat/>
    <w:uiPriority w:val="0"/>
    <w:pPr>
      <w:spacing w:line="360" w:lineRule="auto"/>
      <w:jc w:val="left"/>
      <w:outlineLvl w:val="0"/>
    </w:pPr>
    <w:rPr>
      <w:rFonts w:eastAsia="宋体" w:asciiTheme="majorHAnsi" w:hAnsiTheme="majorHAnsi" w:cstheme="majorBidi"/>
      <w:b/>
      <w:bCs/>
      <w:sz w:val="36"/>
      <w:szCs w:val="32"/>
    </w:rPr>
  </w:style>
  <w:style w:type="paragraph" w:styleId="9">
    <w:name w:val="annotation subject"/>
    <w:basedOn w:val="4"/>
    <w:next w:val="4"/>
    <w:link w:val="18"/>
    <w:qFormat/>
    <w:uiPriority w:val="0"/>
    <w:rPr>
      <w:b/>
      <w:bCs/>
    </w:rPr>
  </w:style>
  <w:style w:type="character" w:styleId="12">
    <w:name w:val="annotation reference"/>
    <w:basedOn w:val="11"/>
    <w:qFormat/>
    <w:uiPriority w:val="0"/>
    <w:rPr>
      <w:sz w:val="21"/>
      <w:szCs w:val="21"/>
    </w:rPr>
  </w:style>
  <w:style w:type="character" w:customStyle="1" w:styleId="13">
    <w:name w:val="页眉 字符"/>
    <w:basedOn w:val="11"/>
    <w:link w:val="7"/>
    <w:qFormat/>
    <w:uiPriority w:val="0"/>
    <w:rPr>
      <w:kern w:val="2"/>
      <w:sz w:val="18"/>
      <w:szCs w:val="18"/>
    </w:rPr>
  </w:style>
  <w:style w:type="character" w:customStyle="1" w:styleId="14">
    <w:name w:val="页脚 字符"/>
    <w:basedOn w:val="11"/>
    <w:link w:val="6"/>
    <w:qFormat/>
    <w:uiPriority w:val="0"/>
    <w:rPr>
      <w:kern w:val="2"/>
      <w:sz w:val="18"/>
      <w:szCs w:val="18"/>
    </w:rPr>
  </w:style>
  <w:style w:type="character" w:customStyle="1" w:styleId="15">
    <w:name w:val="批注框文本 字符"/>
    <w:basedOn w:val="11"/>
    <w:link w:val="5"/>
    <w:qFormat/>
    <w:uiPriority w:val="0"/>
    <w:rPr>
      <w:kern w:val="2"/>
      <w:sz w:val="18"/>
      <w:szCs w:val="18"/>
    </w:rPr>
  </w:style>
  <w:style w:type="paragraph" w:styleId="16">
    <w:name w:val="List Paragraph"/>
    <w:basedOn w:val="1"/>
    <w:unhideWhenUsed/>
    <w:qFormat/>
    <w:uiPriority w:val="99"/>
    <w:pPr>
      <w:ind w:firstLine="420" w:firstLineChars="200"/>
    </w:pPr>
  </w:style>
  <w:style w:type="character" w:customStyle="1" w:styleId="17">
    <w:name w:val="批注文字 字符"/>
    <w:basedOn w:val="11"/>
    <w:link w:val="4"/>
    <w:qFormat/>
    <w:uiPriority w:val="0"/>
    <w:rPr>
      <w:kern w:val="2"/>
      <w:sz w:val="21"/>
      <w:szCs w:val="24"/>
    </w:rPr>
  </w:style>
  <w:style w:type="character" w:customStyle="1" w:styleId="18">
    <w:name w:val="批注主题 字符"/>
    <w:basedOn w:val="17"/>
    <w:link w:val="9"/>
    <w:qFormat/>
    <w:uiPriority w:val="0"/>
    <w:rPr>
      <w:b/>
      <w:bCs/>
      <w:kern w:val="2"/>
      <w:sz w:val="21"/>
      <w:szCs w:val="24"/>
    </w:rPr>
  </w:style>
  <w:style w:type="character" w:customStyle="1" w:styleId="19">
    <w:name w:val="标题 1 字符"/>
    <w:basedOn w:val="11"/>
    <w:link w:val="2"/>
    <w:qFormat/>
    <w:uiPriority w:val="0"/>
    <w:rPr>
      <w:rFonts w:ascii="宋体" w:hAnsi="宋体" w:eastAsia="宋体"/>
      <w:b/>
      <w:bCs/>
      <w:kern w:val="44"/>
      <w:sz w:val="24"/>
      <w:szCs w:val="44"/>
    </w:rPr>
  </w:style>
  <w:style w:type="character" w:customStyle="1" w:styleId="20">
    <w:name w:val="标题 字符"/>
    <w:basedOn w:val="11"/>
    <w:link w:val="8"/>
    <w:qFormat/>
    <w:uiPriority w:val="0"/>
    <w:rPr>
      <w:rFonts w:eastAsia="宋体" w:asciiTheme="majorHAnsi" w:hAnsiTheme="majorHAnsi" w:cstheme="majorBidi"/>
      <w:b/>
      <w:bCs/>
      <w:kern w:val="2"/>
      <w:sz w:val="36"/>
      <w:szCs w:val="32"/>
    </w:rPr>
  </w:style>
  <w:style w:type="character" w:customStyle="1" w:styleId="21">
    <w:name w:val="标题 2 字符"/>
    <w:basedOn w:val="11"/>
    <w:link w:val="3"/>
    <w:qFormat/>
    <w:uiPriority w:val="0"/>
    <w:rPr>
      <w:rFonts w:ascii="宋体" w:hAnsi="宋体" w:eastAsia="宋体" w:cstheme="majorBidi"/>
      <w:b/>
      <w:bCs/>
      <w:kern w:val="2"/>
      <w:sz w:val="24"/>
      <w:szCs w:val="32"/>
    </w:rPr>
  </w:style>
  <w:style w:type="paragraph" w:customStyle="1" w:styleId="22">
    <w:name w:val="Revision"/>
    <w:hidden/>
    <w:semiHidden/>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SDJK.CC</Company>
  <Pages>3</Pages>
  <Words>1450</Words>
  <Characters>1501</Characters>
  <Lines>12</Lines>
  <Paragraphs>3</Paragraphs>
  <TotalTime>2</TotalTime>
  <ScaleCrop>false</ScaleCrop>
  <LinksUpToDate>false</LinksUpToDate>
  <CharactersWithSpaces>1694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2025-04-01T08:42:00Z</dcterms:created>
  <dc:creator>一城之隔</dc:creator>
  <cp:lastModifiedBy>cdq</cp:lastModifiedBy>
  <dcterms:modified xsi:type="dcterms:W3CDTF">2025-04-02T00:50:21Z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eyJoZGlkIjoiY2Q4MDAzNjNiM2EwYjNjY2VkN2I2ZWY4OTg5YTA1ZWYiLCJ1c2VySWQiOiIxMzk5OTUwMzQxIn0=</vt:lpwstr>
  </property>
  <property fmtid="{D5CDD505-2E9C-101B-9397-08002B2CF9AE}" pid="4" name="ICV">
    <vt:lpwstr>C9DCC7EF03CB4059AFAF13ED61AB0A7E_12</vt:lpwstr>
  </property>
</Properties>
</file>